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8"/>
        <w:spacing w:line="240" w:lineRule="auto"/>
        <w:ind w:firstLine="0" w:firstLineChars="0"/>
        <w:rPr>
          <w:rFonts w:ascii="方正小标宋_GBK" w:hAnsi="方正小标宋_GBK" w:eastAsia="方正小标宋_GBK" w:cs="方正小标宋_GBK"/>
          <w:sz w:val="36"/>
          <w:szCs w:val="36"/>
        </w:rPr>
      </w:pPr>
    </w:p>
    <w:p>
      <w:pPr>
        <w:pStyle w:val="8"/>
        <w:spacing w:line="240" w:lineRule="auto"/>
        <w:ind w:firstLine="712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2022年新能源汽车推广补贴方案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8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color w:val="32323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323232"/>
          <w:sz w:val="32"/>
          <w:szCs w:val="32"/>
        </w:rPr>
        <w:t>一</w:t>
      </w:r>
      <w:r>
        <w:rPr>
          <w:rFonts w:hint="eastAsia" w:ascii="黑体" w:hAnsi="黑体" w:eastAsia="黑体" w:cs="黑体"/>
          <w:color w:val="323232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323232"/>
          <w:sz w:val="32"/>
          <w:szCs w:val="32"/>
        </w:rPr>
        <w:t>非公共领域补贴方案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8" w:lineRule="exact"/>
        <w:ind w:firstLine="640" w:firstLineChars="200"/>
        <w:jc w:val="both"/>
        <w:textAlignment w:val="auto"/>
        <w:outlineLvl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新能源乘用车、新能源客车、新能源货车分别如表1、表2、表3所示。</w:t>
      </w:r>
    </w:p>
    <w:p>
      <w:pPr>
        <w:pStyle w:val="8"/>
        <w:autoSpaceDE/>
        <w:autoSpaceDN/>
        <w:adjustRightInd/>
        <w:snapToGrid/>
        <w:spacing w:line="560" w:lineRule="exact"/>
        <w:ind w:firstLine="0" w:firstLineChars="0"/>
        <w:jc w:val="center"/>
        <w:outlineLvl w:val="1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表1 新能源乘用车补贴方案（非公共领域）</w:t>
      </w:r>
    </w:p>
    <w:p>
      <w:pPr>
        <w:jc w:val="right"/>
        <w:outlineLvl w:val="2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仿宋_GB2312"/>
          <w:szCs w:val="21"/>
        </w:rPr>
        <w:t>单位：万元</w:t>
      </w:r>
    </w:p>
    <w:tbl>
      <w:tblPr>
        <w:tblStyle w:val="5"/>
        <w:tblW w:w="8539" w:type="dxa"/>
        <w:tblInd w:w="-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8"/>
        <w:gridCol w:w="1487"/>
        <w:gridCol w:w="1380"/>
        <w:gridCol w:w="2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428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  <w:t>车辆类型</w:t>
            </w:r>
          </w:p>
        </w:tc>
        <w:tc>
          <w:tcPr>
            <w:tcW w:w="5111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  <w:t>纯电动续驶里程R(工况法、公里)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42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纯电动乘用车</w:t>
            </w:r>
          </w:p>
        </w:tc>
        <w:tc>
          <w:tcPr>
            <w:tcW w:w="148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300≤R＜400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R≥400</w:t>
            </w:r>
          </w:p>
        </w:tc>
        <w:tc>
          <w:tcPr>
            <w:tcW w:w="22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R≥50</w:t>
            </w:r>
            <w:r>
              <w:rPr>
                <w:rFonts w:hint="eastAsia" w:ascii="Times New Roman" w:hAnsi="Times New Roman" w:eastAsia="仿宋_GB2312"/>
                <w:szCs w:val="21"/>
              </w:rPr>
              <w:t>（NEDC工况）/</w:t>
            </w:r>
          </w:p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R≥</w:t>
            </w:r>
            <w:r>
              <w:rPr>
                <w:rFonts w:hint="eastAsia" w:ascii="Times New Roman" w:hAnsi="Times New Roman" w:eastAsia="仿宋_GB2312"/>
                <w:szCs w:val="21"/>
              </w:rPr>
              <w:t>43（WLTC工况）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42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48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Cs w:val="21"/>
              </w:rPr>
              <w:t>0.91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Cs w:val="21"/>
              </w:rPr>
              <w:t>1.26</w:t>
            </w:r>
          </w:p>
        </w:tc>
        <w:tc>
          <w:tcPr>
            <w:tcW w:w="22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42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插电式混合动力（含增程式）乘用车</w:t>
            </w:r>
          </w:p>
        </w:tc>
        <w:tc>
          <w:tcPr>
            <w:tcW w:w="2867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Cs w:val="21"/>
              </w:rPr>
              <w:t>/</w:t>
            </w:r>
          </w:p>
        </w:tc>
        <w:tc>
          <w:tcPr>
            <w:tcW w:w="2244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Cs w:val="21"/>
              </w:rPr>
              <w:t>0.48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8539" w:type="dxa"/>
            <w:gridSpan w:val="4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纯电动乘用车单车补贴金额=Min{里程补贴标准，车辆带电量×280元}×电池系统能量密度调整系数×车辆能耗调整系数。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对于非私人购买或用于营运的新能源乘用车，按照相应补贴金额的 0.7 倍给予补贴。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补贴前售价应在30万元以下（以机动车销售统一发票、企业官方指导价等为参考依据，“换电模式”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除外）。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jc w:val="center"/>
        <w:textAlignment w:val="auto"/>
        <w:outlineLvl w:val="1"/>
        <w:rPr>
          <w:rFonts w:hint="eastAsia" w:ascii="仿宋_GB2312" w:hAnsi="仿宋_GB2312" w:cs="仿宋_GB2312"/>
          <w:szCs w:val="32"/>
        </w:rPr>
      </w:pPr>
    </w:p>
    <w:p>
      <w:pPr>
        <w:pStyle w:val="7"/>
        <w:autoSpaceDE/>
        <w:autoSpaceDN/>
        <w:adjustRightInd/>
        <w:snapToGrid/>
        <w:spacing w:line="240" w:lineRule="auto"/>
        <w:ind w:firstLine="0" w:firstLineChars="0"/>
        <w:jc w:val="center"/>
        <w:outlineLvl w:val="1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表2 新能源客车补贴方案（非公共领域）</w:t>
      </w:r>
    </w:p>
    <w:tbl>
      <w:tblPr>
        <w:tblStyle w:val="5"/>
        <w:tblW w:w="8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028"/>
        <w:gridCol w:w="1272"/>
        <w:gridCol w:w="1334"/>
        <w:gridCol w:w="1309"/>
        <w:gridCol w:w="714"/>
        <w:gridCol w:w="927"/>
        <w:gridCol w:w="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tblHeader/>
          <w:jc w:val="center"/>
        </w:trPr>
        <w:tc>
          <w:tcPr>
            <w:tcW w:w="1325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车辆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0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中央财政补贴标准（元/kWh）</w:t>
            </w:r>
          </w:p>
        </w:tc>
        <w:tc>
          <w:tcPr>
            <w:tcW w:w="3915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中央财政补贴调整系数</w:t>
            </w:r>
          </w:p>
        </w:tc>
        <w:tc>
          <w:tcPr>
            <w:tcW w:w="2462" w:type="dxa"/>
            <w:gridSpan w:val="3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中央财政单车补贴上限（万元）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915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6&lt;L≤8m</w:t>
            </w:r>
          </w:p>
        </w:tc>
        <w:tc>
          <w:tcPr>
            <w:tcW w:w="9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8＜L≤10m</w:t>
            </w:r>
          </w:p>
        </w:tc>
        <w:tc>
          <w:tcPr>
            <w:tcW w:w="82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L&gt;10m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3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非快充类纯电动客车</w:t>
            </w:r>
          </w:p>
        </w:tc>
        <w:tc>
          <w:tcPr>
            <w:tcW w:w="10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单位载质量能量消耗量（Wh/km·kg）</w:t>
            </w:r>
          </w:p>
        </w:tc>
        <w:tc>
          <w:tcPr>
            <w:tcW w:w="71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.4</w:t>
            </w:r>
          </w:p>
        </w:tc>
        <w:tc>
          <w:tcPr>
            <w:tcW w:w="9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3.08</w:t>
            </w:r>
          </w:p>
        </w:tc>
        <w:tc>
          <w:tcPr>
            <w:tcW w:w="82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5.04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0.18（含）-0.17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0.17（含）-0.15</w:t>
            </w:r>
          </w:p>
        </w:tc>
        <w:tc>
          <w:tcPr>
            <w:tcW w:w="13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0.15及以下</w:t>
            </w:r>
          </w:p>
        </w:tc>
        <w:tc>
          <w:tcPr>
            <w:tcW w:w="714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3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快充类纯电动客车</w:t>
            </w:r>
          </w:p>
        </w:tc>
        <w:tc>
          <w:tcPr>
            <w:tcW w:w="1028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快充倍率</w:t>
            </w:r>
          </w:p>
        </w:tc>
        <w:tc>
          <w:tcPr>
            <w:tcW w:w="71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.12</w:t>
            </w:r>
          </w:p>
        </w:tc>
        <w:tc>
          <w:tcPr>
            <w:tcW w:w="9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2.24</w:t>
            </w:r>
          </w:p>
        </w:tc>
        <w:tc>
          <w:tcPr>
            <w:tcW w:w="82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3.64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3C－5C（含）</w:t>
            </w:r>
          </w:p>
        </w:tc>
        <w:tc>
          <w:tcPr>
            <w:tcW w:w="133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5C－15C（含）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15C以上</w:t>
            </w:r>
          </w:p>
        </w:tc>
        <w:tc>
          <w:tcPr>
            <w:tcW w:w="714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33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25" w:type="dxa"/>
            <w:vMerge w:val="restart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插电式混合动力（含增程式）客车</w:t>
            </w:r>
          </w:p>
        </w:tc>
        <w:tc>
          <w:tcPr>
            <w:tcW w:w="102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336</w:t>
            </w:r>
          </w:p>
        </w:tc>
        <w:tc>
          <w:tcPr>
            <w:tcW w:w="3915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节油率水平</w:t>
            </w:r>
          </w:p>
        </w:tc>
        <w:tc>
          <w:tcPr>
            <w:tcW w:w="71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92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1.12</w:t>
            </w:r>
          </w:p>
        </w:tc>
        <w:tc>
          <w:tcPr>
            <w:tcW w:w="82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2.13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60%－65%（含）</w:t>
            </w:r>
          </w:p>
        </w:tc>
        <w:tc>
          <w:tcPr>
            <w:tcW w:w="133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65%－70%（含）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70%以上</w:t>
            </w:r>
          </w:p>
        </w:tc>
        <w:tc>
          <w:tcPr>
            <w:tcW w:w="714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4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21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730" w:type="dxa"/>
            <w:gridSpan w:val="8"/>
            <w:vAlign w:val="center"/>
          </w:tcPr>
          <w:p>
            <w:pPr>
              <w:pStyle w:val="7"/>
              <w:snapToGrid/>
              <w:spacing w:line="240" w:lineRule="exact"/>
              <w:ind w:firstLine="0" w:firstLineChars="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</w:rPr>
              <w:t>单车补贴金额=Min{车辆带电量×单位电量补贴标准；单车补贴上限}×调整系数（包括：单位载质量能量消耗量系数、快充倍率系数、节油率系数）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0" w:firstLineChars="0"/>
        <w:jc w:val="center"/>
        <w:textAlignment w:val="auto"/>
        <w:outlineLvl w:val="1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表3新能源货车补贴方案（非公共领域）</w:t>
      </w:r>
    </w:p>
    <w:tbl>
      <w:tblPr>
        <w:tblStyle w:val="5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819"/>
        <w:gridCol w:w="1441"/>
        <w:gridCol w:w="1715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  <w:jc w:val="center"/>
        </w:trPr>
        <w:tc>
          <w:tcPr>
            <w:tcW w:w="1838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车辆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81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中央财政补贴标准（元/kWh）</w:t>
            </w:r>
          </w:p>
        </w:tc>
        <w:tc>
          <w:tcPr>
            <w:tcW w:w="4871" w:type="dxa"/>
            <w:gridSpan w:val="3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中央财政单车补贴上限（万元）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  <w:jc w:val="center"/>
        </w:trPr>
        <w:tc>
          <w:tcPr>
            <w:tcW w:w="1838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N1类</w:t>
            </w:r>
          </w:p>
        </w:tc>
        <w:tc>
          <w:tcPr>
            <w:tcW w:w="17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N2类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N3类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纯电动货车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bCs/>
                <w:i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  <w:lang w:val="en-US" w:eastAsia="zh-CN"/>
              </w:rPr>
              <w:t>.01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1.96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插电式混合动力（含增程式）货车</w:t>
            </w:r>
          </w:p>
        </w:tc>
        <w:tc>
          <w:tcPr>
            <w:tcW w:w="181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1.12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1.76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exact"/>
        <w:ind w:firstLine="640" w:firstLineChars="200"/>
        <w:textAlignment w:val="auto"/>
        <w:outlineLvl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8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color w:val="32323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323232"/>
          <w:sz w:val="32"/>
          <w:szCs w:val="32"/>
        </w:rPr>
        <w:t>二</w:t>
      </w:r>
      <w:r>
        <w:rPr>
          <w:rFonts w:hint="eastAsia" w:ascii="黑体" w:hAnsi="黑体" w:eastAsia="黑体" w:cs="黑体"/>
          <w:color w:val="323232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323232"/>
          <w:sz w:val="32"/>
          <w:szCs w:val="32"/>
        </w:rPr>
        <w:t>公共交通等领域补贴方案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outlineLvl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新能源乘用车、新能源客车、新能源货车分别如表4、表5、表6所示。</w:t>
      </w:r>
    </w:p>
    <w:p>
      <w:pPr>
        <w:pStyle w:val="8"/>
        <w:spacing w:line="560" w:lineRule="exact"/>
        <w:ind w:firstLine="0" w:firstLineChars="0"/>
        <w:jc w:val="center"/>
        <w:outlineLvl w:val="1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表4 新能源乘用车补贴方案（公共领域）</w:t>
      </w:r>
    </w:p>
    <w:p>
      <w:pPr>
        <w:spacing w:before="156"/>
        <w:ind w:firstLine="420"/>
        <w:jc w:val="right"/>
        <w:outlineLvl w:val="2"/>
        <w:rPr>
          <w:rFonts w:eastAsia="黑体"/>
          <w:color w:val="000000"/>
          <w:szCs w:val="32"/>
        </w:rPr>
      </w:pPr>
      <w:r>
        <w:rPr>
          <w:rFonts w:eastAsia="仿宋_GB2312"/>
          <w:color w:val="000000"/>
          <w:szCs w:val="21"/>
        </w:rPr>
        <w:t>单位：万元</w:t>
      </w:r>
    </w:p>
    <w:tbl>
      <w:tblPr>
        <w:tblStyle w:val="5"/>
        <w:tblW w:w="8185" w:type="dxa"/>
        <w:tblInd w:w="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5"/>
        <w:gridCol w:w="1401"/>
        <w:gridCol w:w="1300"/>
        <w:gridCol w:w="2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295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  <w:t>车辆类型</w:t>
            </w:r>
          </w:p>
        </w:tc>
        <w:tc>
          <w:tcPr>
            <w:tcW w:w="4890" w:type="dxa"/>
            <w:gridSpan w:val="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Cs w:val="21"/>
              </w:rPr>
              <w:t>纯电动续驶里程R(工况法、公里)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29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纯电动乘用车</w:t>
            </w:r>
          </w:p>
        </w:tc>
        <w:tc>
          <w:tcPr>
            <w:tcW w:w="140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300≤R＜400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R≥400</w:t>
            </w: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R≥50</w:t>
            </w:r>
            <w:r>
              <w:rPr>
                <w:rFonts w:hint="eastAsia" w:ascii="Times New Roman" w:hAnsi="Times New Roman" w:eastAsia="仿宋_GB2312"/>
                <w:szCs w:val="21"/>
              </w:rPr>
              <w:t>（NEDC工况）/</w:t>
            </w:r>
          </w:p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R≥</w:t>
            </w:r>
            <w:r>
              <w:rPr>
                <w:rFonts w:hint="eastAsia" w:ascii="Times New Roman" w:hAnsi="Times New Roman" w:eastAsia="仿宋_GB2312"/>
                <w:szCs w:val="21"/>
              </w:rPr>
              <w:t>43（WLTC工况）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29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401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1.3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1.8</w:t>
            </w: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29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插电式混合动力（含增程式）乘用车</w:t>
            </w:r>
          </w:p>
        </w:tc>
        <w:tc>
          <w:tcPr>
            <w:tcW w:w="2701" w:type="dxa"/>
            <w:gridSpan w:val="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/</w:t>
            </w: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0.72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185" w:type="dxa"/>
            <w:gridSpan w:val="4"/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</w:rPr>
              <w:t>纯电动乘用车单车补贴金额=Min{里程补贴标准，车辆带电量×396元}×电池系统能量密度调整系数×车辆能耗调整系数。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对于非私人购买或用于营运的新能源乘用车，按照相应补贴金额的 0.7 倍给予补贴。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补贴前售价应在30万元以下（以机动车销售统一发票、企业官方指导价等为参考依据，“换电模式”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>除外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）。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exact"/>
        <w:ind w:firstLine="0" w:firstLineChars="0"/>
        <w:jc w:val="center"/>
        <w:textAlignment w:val="auto"/>
        <w:outlineLvl w:val="1"/>
        <w:rPr>
          <w:rFonts w:hint="eastAsia" w:ascii="仿宋_GB2312" w:hAnsi="仿宋_GB2312" w:cs="仿宋_GB231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1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表5 新能源客车补贴方案（公共领域）</w:t>
      </w:r>
    </w:p>
    <w:tbl>
      <w:tblPr>
        <w:tblStyle w:val="5"/>
        <w:tblW w:w="9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318"/>
        <w:gridCol w:w="1185"/>
        <w:gridCol w:w="1131"/>
        <w:gridCol w:w="1309"/>
        <w:gridCol w:w="849"/>
        <w:gridCol w:w="1050"/>
        <w:gridCol w:w="1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tblHeader/>
          <w:jc w:val="center"/>
        </w:trPr>
        <w:tc>
          <w:tcPr>
            <w:tcW w:w="1325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车辆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31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中央财政补贴标准（元/kWh）</w:t>
            </w:r>
          </w:p>
        </w:tc>
        <w:tc>
          <w:tcPr>
            <w:tcW w:w="3625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中央财政补贴调整系数</w:t>
            </w:r>
          </w:p>
        </w:tc>
        <w:tc>
          <w:tcPr>
            <w:tcW w:w="3046" w:type="dxa"/>
            <w:gridSpan w:val="3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中央财政单车补贴上限（万元）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tblHeader/>
          <w:jc w:val="center"/>
        </w:trPr>
        <w:tc>
          <w:tcPr>
            <w:tcW w:w="1325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625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6&lt;L≤8m</w:t>
            </w:r>
          </w:p>
        </w:tc>
        <w:tc>
          <w:tcPr>
            <w:tcW w:w="10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8＜L≤10m</w:t>
            </w:r>
          </w:p>
        </w:tc>
        <w:tc>
          <w:tcPr>
            <w:tcW w:w="1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L&gt;10m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3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非快充类纯电动客车</w:t>
            </w:r>
          </w:p>
        </w:tc>
        <w:tc>
          <w:tcPr>
            <w:tcW w:w="131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36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单位载质量能量消耗量（Wh/km·kg）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3.96</w:t>
            </w:r>
          </w:p>
        </w:tc>
        <w:tc>
          <w:tcPr>
            <w:tcW w:w="114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6.</w:t>
            </w:r>
            <w:r>
              <w:rPr>
                <w:rFonts w:hint="eastAsia" w:ascii="Times New Roman" w:hAnsi="Times New Roman" w:eastAsia="仿宋_GB2312"/>
                <w:bCs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0.18（含）-0.17</w:t>
            </w:r>
          </w:p>
        </w:tc>
        <w:tc>
          <w:tcPr>
            <w:tcW w:w="113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0.17（含）-0.15</w:t>
            </w:r>
          </w:p>
        </w:tc>
        <w:tc>
          <w:tcPr>
            <w:tcW w:w="13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0.15及以下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13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3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快充类纯电动客车</w:t>
            </w:r>
          </w:p>
        </w:tc>
        <w:tc>
          <w:tcPr>
            <w:tcW w:w="1318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648</w:t>
            </w:r>
          </w:p>
        </w:tc>
        <w:tc>
          <w:tcPr>
            <w:tcW w:w="36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快充倍率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2.88</w:t>
            </w:r>
          </w:p>
        </w:tc>
        <w:tc>
          <w:tcPr>
            <w:tcW w:w="114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4.68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3C－5C（含）</w:t>
            </w:r>
          </w:p>
        </w:tc>
        <w:tc>
          <w:tcPr>
            <w:tcW w:w="113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5C－15C（含）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15C以上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13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325" w:type="dxa"/>
            <w:vMerge w:val="restart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插电式混合动力（含增程式）客车</w:t>
            </w:r>
          </w:p>
        </w:tc>
        <w:tc>
          <w:tcPr>
            <w:tcW w:w="1318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432</w:t>
            </w:r>
          </w:p>
        </w:tc>
        <w:tc>
          <w:tcPr>
            <w:tcW w:w="3625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节油率水平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114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2.74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60%－65%（含）</w:t>
            </w:r>
          </w:p>
        </w:tc>
        <w:tc>
          <w:tcPr>
            <w:tcW w:w="113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65%－70%（含）</w:t>
            </w:r>
          </w:p>
        </w:tc>
        <w:tc>
          <w:tcPr>
            <w:tcW w:w="1309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70%以上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325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131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vMerge w:val="continue"/>
            <w:vAlign w:val="center"/>
          </w:tcPr>
          <w:p>
            <w:pPr>
              <w:spacing w:line="240" w:lineRule="exact"/>
              <w:jc w:val="center"/>
              <w:outlineLvl w:val="0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314" w:type="dxa"/>
            <w:gridSpan w:val="8"/>
            <w:vAlign w:val="center"/>
          </w:tcPr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单车补贴金额=Min{车辆带电量×单位电量补贴标准；单车补贴上限}×调整系数（包括：单位载质量能量消耗量系数、快充倍率系数、节油率系数）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240" w:lineRule="auto"/>
        <w:ind w:firstLine="0" w:firstLineChars="0"/>
        <w:jc w:val="center"/>
        <w:textAlignment w:val="auto"/>
        <w:outlineLvl w:val="1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表6 新能源货车补贴方案（公共领域）</w:t>
      </w:r>
    </w:p>
    <w:tbl>
      <w:tblPr>
        <w:tblStyle w:val="5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819"/>
        <w:gridCol w:w="1441"/>
        <w:gridCol w:w="1715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1838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车辆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81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中央财政补贴标准（元/kWh）</w:t>
            </w:r>
          </w:p>
        </w:tc>
        <w:tc>
          <w:tcPr>
            <w:tcW w:w="487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中央财政单车补贴上限（万元）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  <w:jc w:val="center"/>
        </w:trPr>
        <w:tc>
          <w:tcPr>
            <w:tcW w:w="1838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N1类</w:t>
            </w:r>
          </w:p>
        </w:tc>
        <w:tc>
          <w:tcPr>
            <w:tcW w:w="17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N2类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N3类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纯电动货车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i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3.96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3.96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插电式混合动力（含增程式）货车</w:t>
            </w:r>
          </w:p>
        </w:tc>
        <w:tc>
          <w:tcPr>
            <w:tcW w:w="181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1.44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2.52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jc w:val="both"/>
        <w:textAlignment w:val="auto"/>
        <w:outlineLvl w:val="0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323232"/>
          <w:kern w:val="0"/>
          <w:sz w:val="32"/>
          <w:szCs w:val="32"/>
          <w:lang w:val="en-US" w:eastAsia="zh-CN" w:bidi="ar-SA"/>
        </w:rPr>
        <w:t xml:space="preserve">   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WAAAAZHJzL1BLAQIUABQAAAAIAIdO4kDOqXm5zwAAAAUBAAAPAAAAAAAAAAEAIAAAADgAAABk&#10;cnMvZG93bnJldi54bWxQSwECFAAUAAAACACHTuJAIPnr38ABAABrAwAADgAAAAAAAAABACAAAAA0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CD48F0"/>
    <w:multiLevelType w:val="singleLevel"/>
    <w:tmpl w:val="21CD48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901981B"/>
    <w:multiLevelType w:val="singleLevel"/>
    <w:tmpl w:val="490198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8E"/>
    <w:rsid w:val="0001106B"/>
    <w:rsid w:val="00021412"/>
    <w:rsid w:val="00063154"/>
    <w:rsid w:val="00147EFF"/>
    <w:rsid w:val="00150C4C"/>
    <w:rsid w:val="001F18E7"/>
    <w:rsid w:val="00207B5E"/>
    <w:rsid w:val="00213E97"/>
    <w:rsid w:val="002D62F1"/>
    <w:rsid w:val="00316AD0"/>
    <w:rsid w:val="003A71C9"/>
    <w:rsid w:val="003D4F6A"/>
    <w:rsid w:val="004714A2"/>
    <w:rsid w:val="00537BDD"/>
    <w:rsid w:val="00541C37"/>
    <w:rsid w:val="005C74EB"/>
    <w:rsid w:val="006220EA"/>
    <w:rsid w:val="0062356A"/>
    <w:rsid w:val="00696BE1"/>
    <w:rsid w:val="00697663"/>
    <w:rsid w:val="006C1F01"/>
    <w:rsid w:val="00716B8D"/>
    <w:rsid w:val="00822457"/>
    <w:rsid w:val="00823DD8"/>
    <w:rsid w:val="00825D81"/>
    <w:rsid w:val="00852C00"/>
    <w:rsid w:val="008D1560"/>
    <w:rsid w:val="008D29E0"/>
    <w:rsid w:val="008E2550"/>
    <w:rsid w:val="00917FD4"/>
    <w:rsid w:val="00A154ED"/>
    <w:rsid w:val="00A15823"/>
    <w:rsid w:val="00AC43ED"/>
    <w:rsid w:val="00B00F42"/>
    <w:rsid w:val="00B50435"/>
    <w:rsid w:val="00BA0D38"/>
    <w:rsid w:val="00CB4D6D"/>
    <w:rsid w:val="00D43DA6"/>
    <w:rsid w:val="00D8377E"/>
    <w:rsid w:val="00D94567"/>
    <w:rsid w:val="00DF3D84"/>
    <w:rsid w:val="00E40318"/>
    <w:rsid w:val="00EA2B6B"/>
    <w:rsid w:val="00EB5321"/>
    <w:rsid w:val="00ED5B38"/>
    <w:rsid w:val="00F33B6D"/>
    <w:rsid w:val="00F6188E"/>
    <w:rsid w:val="00FA6E04"/>
    <w:rsid w:val="00FB1712"/>
    <w:rsid w:val="0BDF0306"/>
    <w:rsid w:val="13FF3B18"/>
    <w:rsid w:val="19BDF6F4"/>
    <w:rsid w:val="1F6F3927"/>
    <w:rsid w:val="1FEC38FA"/>
    <w:rsid w:val="1FFF622B"/>
    <w:rsid w:val="27BFAA01"/>
    <w:rsid w:val="2C6FFCAF"/>
    <w:rsid w:val="2FF72A9A"/>
    <w:rsid w:val="30026679"/>
    <w:rsid w:val="35EF0FAA"/>
    <w:rsid w:val="367D2712"/>
    <w:rsid w:val="3B47E3BD"/>
    <w:rsid w:val="3B890813"/>
    <w:rsid w:val="3BFF5A1D"/>
    <w:rsid w:val="3C873173"/>
    <w:rsid w:val="3E7AC8EF"/>
    <w:rsid w:val="3EAB0813"/>
    <w:rsid w:val="3FBF7C4F"/>
    <w:rsid w:val="446971EC"/>
    <w:rsid w:val="46D87E7D"/>
    <w:rsid w:val="4FF9333F"/>
    <w:rsid w:val="5178BAB2"/>
    <w:rsid w:val="56DF4062"/>
    <w:rsid w:val="573EF51B"/>
    <w:rsid w:val="57EEF1E6"/>
    <w:rsid w:val="57F488FD"/>
    <w:rsid w:val="58EA2750"/>
    <w:rsid w:val="597F061F"/>
    <w:rsid w:val="5B6E6F18"/>
    <w:rsid w:val="5B7E1EA4"/>
    <w:rsid w:val="5D9FE4F8"/>
    <w:rsid w:val="5F104DCC"/>
    <w:rsid w:val="5F8603F6"/>
    <w:rsid w:val="5FDE9708"/>
    <w:rsid w:val="5FFE7D8B"/>
    <w:rsid w:val="676F9A4D"/>
    <w:rsid w:val="67CE3EF7"/>
    <w:rsid w:val="67F556DB"/>
    <w:rsid w:val="69A5627B"/>
    <w:rsid w:val="69C77EB8"/>
    <w:rsid w:val="69FF4489"/>
    <w:rsid w:val="6BF70CCC"/>
    <w:rsid w:val="6EF949D7"/>
    <w:rsid w:val="6F7BA55A"/>
    <w:rsid w:val="6F87618E"/>
    <w:rsid w:val="6FD729A8"/>
    <w:rsid w:val="6FE6ED97"/>
    <w:rsid w:val="71B053AB"/>
    <w:rsid w:val="72FA53FE"/>
    <w:rsid w:val="735F9E75"/>
    <w:rsid w:val="73722218"/>
    <w:rsid w:val="73B15695"/>
    <w:rsid w:val="73FF47A3"/>
    <w:rsid w:val="76FECE43"/>
    <w:rsid w:val="76FFB96D"/>
    <w:rsid w:val="7A754127"/>
    <w:rsid w:val="7A7F0D4B"/>
    <w:rsid w:val="7AEE95EC"/>
    <w:rsid w:val="7AFFA3F8"/>
    <w:rsid w:val="7BAF5C3C"/>
    <w:rsid w:val="7BDFFBBC"/>
    <w:rsid w:val="7DF9C58F"/>
    <w:rsid w:val="7F0D611E"/>
    <w:rsid w:val="7F2F8A85"/>
    <w:rsid w:val="7F5FC9A1"/>
    <w:rsid w:val="7F73AFDF"/>
    <w:rsid w:val="7F7EBF5C"/>
    <w:rsid w:val="7FB84867"/>
    <w:rsid w:val="7FCFA5A8"/>
    <w:rsid w:val="7FDEDCC7"/>
    <w:rsid w:val="7FDF759D"/>
    <w:rsid w:val="7FFD7287"/>
    <w:rsid w:val="7FFE6E90"/>
    <w:rsid w:val="8FC764A2"/>
    <w:rsid w:val="9FFB4105"/>
    <w:rsid w:val="AFADDED4"/>
    <w:rsid w:val="AFBF3E2D"/>
    <w:rsid w:val="B3DBE6CD"/>
    <w:rsid w:val="B5D68288"/>
    <w:rsid w:val="B7BE6C47"/>
    <w:rsid w:val="B7FC0E10"/>
    <w:rsid w:val="B7FFB560"/>
    <w:rsid w:val="BD9EB87C"/>
    <w:rsid w:val="BDBFEC36"/>
    <w:rsid w:val="BDFF8F05"/>
    <w:rsid w:val="BDFFF432"/>
    <w:rsid w:val="BF3C3454"/>
    <w:rsid w:val="BF8F2980"/>
    <w:rsid w:val="BFACB3BA"/>
    <w:rsid w:val="BFAFDCF3"/>
    <w:rsid w:val="BFD79725"/>
    <w:rsid w:val="BFEAA319"/>
    <w:rsid w:val="BFEDE968"/>
    <w:rsid w:val="BFF60211"/>
    <w:rsid w:val="BFFE3430"/>
    <w:rsid w:val="C7A705F4"/>
    <w:rsid w:val="CFED01C7"/>
    <w:rsid w:val="CFEF222B"/>
    <w:rsid w:val="CFFF3E1A"/>
    <w:rsid w:val="D4EF7F4C"/>
    <w:rsid w:val="D7C2E65E"/>
    <w:rsid w:val="D7CFC9D9"/>
    <w:rsid w:val="D7DF9166"/>
    <w:rsid w:val="DC354F75"/>
    <w:rsid w:val="DDB74120"/>
    <w:rsid w:val="DEBFF4CC"/>
    <w:rsid w:val="DF6D8489"/>
    <w:rsid w:val="DF7EB0FF"/>
    <w:rsid w:val="DF9F1E49"/>
    <w:rsid w:val="DFF11682"/>
    <w:rsid w:val="DFF453F1"/>
    <w:rsid w:val="DFFF0F58"/>
    <w:rsid w:val="E75FABBC"/>
    <w:rsid w:val="E7F7E921"/>
    <w:rsid w:val="EB6D6555"/>
    <w:rsid w:val="EBEFD507"/>
    <w:rsid w:val="EBFF912B"/>
    <w:rsid w:val="ECA707BF"/>
    <w:rsid w:val="ECFBD525"/>
    <w:rsid w:val="EEFFD310"/>
    <w:rsid w:val="EF7482B7"/>
    <w:rsid w:val="EF7C6B54"/>
    <w:rsid w:val="F3FF6CE8"/>
    <w:rsid w:val="F5F60DCB"/>
    <w:rsid w:val="F5F782AA"/>
    <w:rsid w:val="F77BED64"/>
    <w:rsid w:val="F7BF8B91"/>
    <w:rsid w:val="F7F638BA"/>
    <w:rsid w:val="F7FEA8A6"/>
    <w:rsid w:val="F97FB454"/>
    <w:rsid w:val="F9B702C9"/>
    <w:rsid w:val="FA9B2197"/>
    <w:rsid w:val="FAFFE7C1"/>
    <w:rsid w:val="FBCFC001"/>
    <w:rsid w:val="FBDF927B"/>
    <w:rsid w:val="FBF9AAC5"/>
    <w:rsid w:val="FD7F84C2"/>
    <w:rsid w:val="FDB87A9B"/>
    <w:rsid w:val="FDBDCED2"/>
    <w:rsid w:val="FDBF4D65"/>
    <w:rsid w:val="FDEB6CD5"/>
    <w:rsid w:val="FDFB22C5"/>
    <w:rsid w:val="FEFF2CAA"/>
    <w:rsid w:val="FF17CEDE"/>
    <w:rsid w:val="FF7B4E32"/>
    <w:rsid w:val="FF7F4B96"/>
    <w:rsid w:val="FF7FB85A"/>
    <w:rsid w:val="FFBD32DB"/>
    <w:rsid w:val="FFBD9354"/>
    <w:rsid w:val="FFBFCDDD"/>
    <w:rsid w:val="FFCF92B3"/>
    <w:rsid w:val="FFDBD2FE"/>
    <w:rsid w:val="FFEF813D"/>
    <w:rsid w:val="FFFE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_Style 10"/>
    <w:basedOn w:val="1"/>
    <w:next w:val="8"/>
    <w:qFormat/>
    <w:uiPriority w:val="34"/>
    <w:pPr>
      <w:autoSpaceDE w:val="0"/>
      <w:autoSpaceDN w:val="0"/>
      <w:adjustRightInd w:val="0"/>
      <w:snapToGrid w:val="0"/>
      <w:spacing w:line="588" w:lineRule="atLeast"/>
      <w:ind w:firstLine="420" w:firstLineChars="200"/>
    </w:pPr>
    <w:rPr>
      <w:rFonts w:ascii="宋体" w:hAnsi="宋体" w:eastAsia="仿宋_GB2312"/>
      <w:spacing w:val="-2"/>
      <w:sz w:val="32"/>
    </w:rPr>
  </w:style>
  <w:style w:type="paragraph" w:styleId="8">
    <w:name w:val="List Paragraph"/>
    <w:basedOn w:val="1"/>
    <w:qFormat/>
    <w:uiPriority w:val="34"/>
    <w:pPr>
      <w:autoSpaceDE w:val="0"/>
      <w:autoSpaceDN w:val="0"/>
      <w:adjustRightInd w:val="0"/>
      <w:snapToGrid w:val="0"/>
      <w:spacing w:line="588" w:lineRule="atLeast"/>
      <w:ind w:firstLine="420" w:firstLineChars="200"/>
    </w:pPr>
    <w:rPr>
      <w:rFonts w:ascii="宋体" w:hAnsi="宋体" w:eastAsia="仿宋_GB2312"/>
      <w:spacing w:val="-2"/>
      <w:sz w:val="32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291</Words>
  <Characters>1664</Characters>
  <Lines>13</Lines>
  <Paragraphs>3</Paragraphs>
  <TotalTime>1</TotalTime>
  <ScaleCrop>false</ScaleCrop>
  <LinksUpToDate>false</LinksUpToDate>
  <CharactersWithSpaces>1952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2014-11-04T20:08:00Z</dcterms:created>
  <dc:creator>Administrator</dc:creator>
  <cp:lastModifiedBy>Admin</cp:lastModifiedBy>
  <cp:lastPrinted>2021-12-01T09:30:00Z</cp:lastPrinted>
  <dcterms:modified xsi:type="dcterms:W3CDTF">2021-12-31T16:42:46Z</dcterms:modified>
  <dc:title>附件：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