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tLeast"/>
        <w:rPr>
          <w:rFonts w:ascii="黑体" w:hAnsi="黑体" w:eastAsia="黑体" w:cs="Times New Roman"/>
          <w:kern w:val="2"/>
          <w:sz w:val="32"/>
          <w:szCs w:val="32"/>
        </w:rPr>
      </w:pPr>
      <w:r>
        <w:rPr>
          <w:rFonts w:hint="eastAsia" w:ascii="黑体" w:hAnsi="黑体" w:eastAsia="黑体" w:cs="Times New Roman"/>
          <w:kern w:val="2"/>
          <w:sz w:val="32"/>
          <w:szCs w:val="32"/>
        </w:rPr>
        <w:t>附件1</w:t>
      </w:r>
    </w:p>
    <w:p>
      <w:pPr>
        <w:widowControl w:val="0"/>
        <w:spacing w:after="120" w:line="240" w:lineRule="atLeast"/>
        <w:jc w:val="center"/>
        <w:outlineLvl w:val="0"/>
        <w:rPr>
          <w:rFonts w:ascii="方正小标宋简体" w:eastAsia="方正小标宋简体" w:cs="Times New Roman"/>
          <w:spacing w:val="40"/>
          <w:kern w:val="2"/>
          <w:sz w:val="36"/>
          <w:szCs w:val="36"/>
        </w:rPr>
      </w:pPr>
      <w:r>
        <w:rPr>
          <w:rFonts w:hint="eastAsia" w:ascii="方正小标宋简体" w:eastAsia="方正小标宋简体" w:cs="Times New Roman"/>
          <w:spacing w:val="40"/>
          <w:kern w:val="2"/>
          <w:sz w:val="36"/>
          <w:szCs w:val="36"/>
        </w:rPr>
        <w:t>行业标准目录</w:t>
      </w:r>
    </w:p>
    <w:p>
      <w:pPr>
        <w:rPr>
          <w:rFonts w:ascii="仿宋_GB2312" w:hAnsi="仿宋_GB2312" w:eastAsia="仿宋_GB2312"/>
        </w:rPr>
      </w:pPr>
    </w:p>
    <w:tbl>
      <w:tblPr>
        <w:tblStyle w:val="5"/>
        <w:tblW w:w="14285" w:type="dxa"/>
        <w:tblInd w:w="-19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2"/>
        <w:gridCol w:w="2225"/>
        <w:gridCol w:w="2563"/>
        <w:gridCol w:w="2387"/>
        <w:gridCol w:w="1339"/>
        <w:gridCol w:w="2042"/>
        <w:gridCol w:w="1417"/>
        <w:gridCol w:w="155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  <w:tblHeader/>
        </w:trPr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/>
                <w:b/>
                <w:color w:val="000000"/>
              </w:rPr>
            </w:pPr>
            <w:r>
              <w:rPr>
                <w:rFonts w:hint="eastAsia" w:ascii="仿宋_GB2312" w:hAnsi="仿宋_GB2312" w:eastAsia="仿宋_GB2312"/>
                <w:b/>
                <w:color w:val="000000"/>
              </w:rPr>
              <w:t>序号</w:t>
            </w: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_GB2312" w:hAnsi="黑体" w:eastAsia="仿宋_GB2312"/>
                <w:b/>
                <w:color w:val="000000"/>
              </w:rPr>
            </w:pPr>
            <w:r>
              <w:rPr>
                <w:rFonts w:hint="eastAsia" w:ascii="仿宋_GB2312" w:hAnsi="黑体" w:eastAsia="仿宋_GB2312"/>
                <w:b/>
                <w:color w:val="000000"/>
              </w:rPr>
              <w:t>标准编号</w:t>
            </w:r>
          </w:p>
        </w:tc>
        <w:tc>
          <w:tcPr>
            <w:tcW w:w="2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ind w:left="125" w:leftChars="52"/>
              <w:jc w:val="center"/>
              <w:rPr>
                <w:rFonts w:ascii="仿宋_GB2312" w:hAnsi="仿宋_GB2312" w:eastAsia="仿宋_GB2312"/>
                <w:b/>
                <w:color w:val="000000"/>
              </w:rPr>
            </w:pPr>
            <w:r>
              <w:rPr>
                <w:rFonts w:hint="eastAsia" w:ascii="仿宋_GB2312" w:hAnsi="仿宋_GB2312" w:eastAsia="仿宋_GB2312"/>
                <w:b/>
                <w:color w:val="000000"/>
              </w:rPr>
              <w:t>标准名称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/>
                <w:b/>
                <w:color w:val="000000"/>
              </w:rPr>
            </w:pPr>
            <w:r>
              <w:rPr>
                <w:rFonts w:hint="eastAsia" w:ascii="仿宋_GB2312" w:hAnsi="仿宋_GB2312" w:eastAsia="仿宋_GB2312"/>
                <w:b/>
                <w:color w:val="000000"/>
              </w:rPr>
              <w:t>代替标准</w:t>
            </w: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/>
                <w:b/>
                <w:color w:val="000000"/>
              </w:rPr>
            </w:pPr>
            <w:r>
              <w:rPr>
                <w:rFonts w:hint="eastAsia" w:ascii="仿宋_GB2312" w:hAnsi="仿宋_GB2312" w:eastAsia="仿宋_GB2312"/>
                <w:b/>
                <w:color w:val="000000"/>
              </w:rPr>
              <w:t>采标号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/>
                <w:b/>
                <w:color w:val="000000"/>
              </w:rPr>
            </w:pPr>
            <w:r>
              <w:rPr>
                <w:rFonts w:hint="eastAsia" w:ascii="仿宋_GB2312" w:hAnsi="仿宋_GB2312" w:eastAsia="仿宋_GB2312"/>
                <w:b/>
                <w:color w:val="000000"/>
              </w:rPr>
              <w:t>出版机构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/>
                <w:b/>
                <w:color w:val="000000"/>
              </w:rPr>
            </w:pPr>
            <w:r>
              <w:rPr>
                <w:rFonts w:hint="eastAsia" w:ascii="仿宋_GB2312" w:hAnsi="仿宋_GB2312" w:eastAsia="仿宋_GB2312"/>
                <w:b/>
                <w:color w:val="000000"/>
              </w:rPr>
              <w:t>批准日期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/>
                <w:b/>
                <w:color w:val="000000"/>
              </w:rPr>
            </w:pPr>
            <w:r>
              <w:rPr>
                <w:rFonts w:hint="eastAsia" w:ascii="仿宋_GB2312" w:hAnsi="仿宋_GB2312" w:eastAsia="仿宋_GB2312"/>
                <w:b/>
                <w:color w:val="000000"/>
              </w:rPr>
              <w:t>实施日期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1</w:t>
            </w: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NB/T 11045.2-2023</w:t>
            </w:r>
          </w:p>
        </w:tc>
        <w:tc>
          <w:tcPr>
            <w:tcW w:w="2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页岩气 排采工艺技术规范 第2部分：柱塞排采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石油工业出版社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_GB2312" w:hAnsi="等线" w:eastAsia="仿宋_GB2312"/>
                <w:color w:val="000000"/>
                <w:lang w:val="en-US" w:eastAsia="zh-CN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2023-10-11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_GB2312" w:hAnsi="等线" w:eastAsia="仿宋_GB2312" w:cs="宋体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2024-4-11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2</w:t>
            </w: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NB/T 11045.3-2023</w:t>
            </w:r>
          </w:p>
        </w:tc>
        <w:tc>
          <w:tcPr>
            <w:tcW w:w="2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页岩气 排采工艺技术规范 第3部分：泡沫排水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石油工业出版社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2023-10-11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2024-4-11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3</w:t>
            </w: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NB/T 11295-2023</w:t>
            </w:r>
          </w:p>
        </w:tc>
        <w:tc>
          <w:tcPr>
            <w:tcW w:w="2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核电厂用玻璃纤维增强塑料外包覆钢筋混凝土管道技术规程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中国电力出版社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2023-10-11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2024-4-11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4</w:t>
            </w: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NB/T 11296-2023</w:t>
            </w:r>
          </w:p>
        </w:tc>
        <w:tc>
          <w:tcPr>
            <w:tcW w:w="2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核电厂汽轮机数字电液控制系统维修导则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中国电力出版社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2023-10-11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2024-4-11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5</w:t>
            </w: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NB/T 11297-2023</w:t>
            </w:r>
          </w:p>
        </w:tc>
        <w:tc>
          <w:tcPr>
            <w:tcW w:w="2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直流蒸发器核电机组水汽回路清洁控制技术要求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中国电力出版社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2023-10-11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2024-4-11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6</w:t>
            </w: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NB/T 11298-2023</w:t>
            </w:r>
          </w:p>
        </w:tc>
        <w:tc>
          <w:tcPr>
            <w:tcW w:w="2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风电机组优化效果评估方法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中国电力出版社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2023-10-11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2024-4-11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7</w:t>
            </w: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NB/T 11299-2023</w:t>
            </w:r>
          </w:p>
        </w:tc>
        <w:tc>
          <w:tcPr>
            <w:tcW w:w="2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海上风电场工程光纤复合海底电缆在线监测系统设计规范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中国水利水电出版社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2023-10-11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2024-4-11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8</w:t>
            </w: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NB/T 11300-2023</w:t>
            </w:r>
          </w:p>
        </w:tc>
        <w:tc>
          <w:tcPr>
            <w:tcW w:w="2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交流充电接口电路模拟器技术条件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中国电力出版社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2023-10-11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2024-4-11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9</w:t>
            </w: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NB/T 11301-2023</w:t>
            </w:r>
          </w:p>
        </w:tc>
        <w:tc>
          <w:tcPr>
            <w:tcW w:w="2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直流充电接口电路模拟器技术条件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中国电力出版社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2023-10-11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2024-4-11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10</w:t>
            </w: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NB/T 11302-2023</w:t>
            </w:r>
          </w:p>
        </w:tc>
        <w:tc>
          <w:tcPr>
            <w:tcW w:w="2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电动汽车充电设施及运营平台信息安全技术规范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中国电力出版社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2023-10-11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2024-4-11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11</w:t>
            </w: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NB/T 11303-2023</w:t>
            </w:r>
          </w:p>
        </w:tc>
        <w:tc>
          <w:tcPr>
            <w:tcW w:w="2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电动汽车顶部接触式充电设备技术规范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中国电力出版社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2023-10-11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2024-4-11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12</w:t>
            </w: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NB/T 11304-2023</w:t>
            </w:r>
          </w:p>
        </w:tc>
        <w:tc>
          <w:tcPr>
            <w:tcW w:w="2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电动汽车顶部接触式充电站设计规范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中国电力出版社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2023-10-11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2024-4-11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13</w:t>
            </w: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NB/T 11305.1-2023</w:t>
            </w:r>
          </w:p>
        </w:tc>
        <w:tc>
          <w:tcPr>
            <w:tcW w:w="2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电动汽车充放电双向互动 第1部分：总则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中国电力出版社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2023-10-11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2024-4-11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14</w:t>
            </w: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NB/T 11305.2-2023</w:t>
            </w:r>
          </w:p>
        </w:tc>
        <w:tc>
          <w:tcPr>
            <w:tcW w:w="2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电动汽车充放电双向互动 第2部分：有序充电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中国电力出版社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2023-10-11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2024-4-11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15</w:t>
            </w: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NB/T 11306-2023</w:t>
            </w:r>
          </w:p>
        </w:tc>
        <w:tc>
          <w:tcPr>
            <w:tcW w:w="2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高压直流输电系统滤波器用电抗器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中国电力出版社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2023-10-11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2024-4-11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16</w:t>
            </w: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NB/T 11307.1-2023</w:t>
            </w:r>
          </w:p>
        </w:tc>
        <w:tc>
          <w:tcPr>
            <w:tcW w:w="2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电力设备与材料着火危险评定导则 第1部分：总则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中国电力出版社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2023-10-11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2024-4-11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17</w:t>
            </w: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NB/T 11308-2023</w:t>
            </w:r>
          </w:p>
        </w:tc>
        <w:tc>
          <w:tcPr>
            <w:tcW w:w="2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固体氧化物燃料电池 小型固定式发电系统 性能测试方法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中国电力出版社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2023-10-11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2024-4-11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18</w:t>
            </w: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NB/T 11309-2023</w:t>
            </w:r>
          </w:p>
        </w:tc>
        <w:tc>
          <w:tcPr>
            <w:tcW w:w="2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电力规划经济分析设计规程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中国计划出版社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2023-10-11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2024-4-11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19</w:t>
            </w: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NB/T 11310-2023</w:t>
            </w:r>
          </w:p>
        </w:tc>
        <w:tc>
          <w:tcPr>
            <w:tcW w:w="2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电力无线局域网设计规程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中国计划出版社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2023-10-11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2024-4-11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20</w:t>
            </w: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NB/T 11311-2023</w:t>
            </w:r>
          </w:p>
        </w:tc>
        <w:tc>
          <w:tcPr>
            <w:tcW w:w="2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环形截面混凝土电杆结构设计规程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中国计划出版社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2023-10-11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2024-4-11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21</w:t>
            </w: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NB/T 11312-2023</w:t>
            </w:r>
          </w:p>
        </w:tc>
        <w:tc>
          <w:tcPr>
            <w:tcW w:w="2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高海拔架空输电线路设计技术规程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中国计划出版社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2023-10-11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2024-4-11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22</w:t>
            </w: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NB/T 11313-2023</w:t>
            </w:r>
          </w:p>
        </w:tc>
        <w:tc>
          <w:tcPr>
            <w:tcW w:w="2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35kV重覆冰架空输电线路设计规程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中国计划出版社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2023-10-11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2024-4-11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23</w:t>
            </w: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NB/T 11314-2023</w:t>
            </w:r>
          </w:p>
        </w:tc>
        <w:tc>
          <w:tcPr>
            <w:tcW w:w="2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输电线路共享铁塔设计规程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中国计划出版社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2023-10-11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2024-4-11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24</w:t>
            </w: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NB/T 11315-2023</w:t>
            </w:r>
          </w:p>
        </w:tc>
        <w:tc>
          <w:tcPr>
            <w:tcW w:w="2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变电站辅助控制系统设计规程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中国计划出版社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2023-10-11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2024-4-11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25</w:t>
            </w: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NB/T 11316-2023</w:t>
            </w:r>
          </w:p>
        </w:tc>
        <w:tc>
          <w:tcPr>
            <w:tcW w:w="2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变电站电能质量现场测试技术规范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中国标准出版社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2023-10-11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2024-4-11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26</w:t>
            </w: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NB/T 11317-2023</w:t>
            </w:r>
          </w:p>
        </w:tc>
        <w:tc>
          <w:tcPr>
            <w:tcW w:w="2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供电电压监测系统技术规范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中国标准出版社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2023-10-11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2024-4-11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27</w:t>
            </w: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NB/T 11318-2023</w:t>
            </w:r>
          </w:p>
        </w:tc>
        <w:tc>
          <w:tcPr>
            <w:tcW w:w="2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水电工程应急设计规范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中国水利水电出版社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2023-10-11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2024-4-11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28</w:t>
            </w: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NB/T 11319-2023</w:t>
            </w:r>
          </w:p>
        </w:tc>
        <w:tc>
          <w:tcPr>
            <w:tcW w:w="2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水电工程项目质量管理规程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中国水利水电出版社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2023-10-11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2024-4-11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29</w:t>
            </w: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NB/T 11320-2023</w:t>
            </w:r>
          </w:p>
        </w:tc>
        <w:tc>
          <w:tcPr>
            <w:tcW w:w="2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水电工程清污机设计规范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中国水利水电出版社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2023-10-11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2024-4-11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30</w:t>
            </w: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NB/T 11321-2023</w:t>
            </w:r>
          </w:p>
        </w:tc>
        <w:tc>
          <w:tcPr>
            <w:tcW w:w="2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水电工程建设征地移民安置总体规划编制规程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中国水利水电出版社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2023-10-11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2024-4-11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31</w:t>
            </w: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NB/T 11322-2023</w:t>
            </w:r>
          </w:p>
        </w:tc>
        <w:tc>
          <w:tcPr>
            <w:tcW w:w="2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生物天然气工程初步设计报告编制规程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中国水利水电出版社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2023-10-11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2024-4-11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32</w:t>
            </w: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NB/T 11323-2023</w:t>
            </w:r>
          </w:p>
        </w:tc>
        <w:tc>
          <w:tcPr>
            <w:tcW w:w="2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水电工程完工总结算报告编制导则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中国水利水电出版社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2023-10-11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2024-4-11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33</w:t>
            </w: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NB/T 11324-2023</w:t>
            </w:r>
          </w:p>
        </w:tc>
        <w:tc>
          <w:tcPr>
            <w:tcW w:w="2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水电工程执行概算编制导则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中国水利水电出版社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2023-10-11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2024-4-11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34</w:t>
            </w: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NB/T 11325-2023</w:t>
            </w:r>
          </w:p>
        </w:tc>
        <w:tc>
          <w:tcPr>
            <w:tcW w:w="2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煤矿瓦斯智能化抽采系统技术要求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应急管理出版社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2023-10-11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2024-4-11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35</w:t>
            </w: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NB/T 11326-2023</w:t>
            </w:r>
          </w:p>
        </w:tc>
        <w:tc>
          <w:tcPr>
            <w:tcW w:w="2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煤层穿层钻孔水力冲孔技术规范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应急管理出版社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2023-10-11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2024-4-11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36</w:t>
            </w: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NB/T 11327-2023</w:t>
            </w:r>
          </w:p>
        </w:tc>
        <w:tc>
          <w:tcPr>
            <w:tcW w:w="2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煤层气体渗透率测试方法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应急管理出版社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2023-10-11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2024-4-11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37</w:t>
            </w: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NB/T 11328-2023</w:t>
            </w:r>
          </w:p>
        </w:tc>
        <w:tc>
          <w:tcPr>
            <w:tcW w:w="2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煤巷煤与瓦斯突出预测敏感指标及临界值的实验室测定方法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应急管理出版社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2023-10-11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2024-4-11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38</w:t>
            </w: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NB/T 11329-2023</w:t>
            </w:r>
          </w:p>
        </w:tc>
        <w:tc>
          <w:tcPr>
            <w:tcW w:w="2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煤层瓦斯含量井下一站式自动化测定方法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应急管理出版社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2023-10-11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2024-4-11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39</w:t>
            </w: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NB/T 11330-2023</w:t>
            </w:r>
          </w:p>
        </w:tc>
        <w:tc>
          <w:tcPr>
            <w:tcW w:w="2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煤矿井下探放水钻孔防瓦斯、防突水装置使用规范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应急管理出版社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2023-10-11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2024-4-11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40</w:t>
            </w: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NB/T 11331-2023</w:t>
            </w:r>
          </w:p>
        </w:tc>
        <w:tc>
          <w:tcPr>
            <w:tcW w:w="2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bookmarkStart w:id="0" w:name="RANGE!C41"/>
            <w:r>
              <w:rPr>
                <w:rFonts w:hint="eastAsia" w:ascii="仿宋_GB2312" w:hAnsi="等线" w:eastAsia="仿宋_GB2312"/>
                <w:color w:val="000000"/>
              </w:rPr>
              <w:t>页岩气 页岩损失气量的计算方法</w:t>
            </w:r>
            <w:bookmarkEnd w:id="0"/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石油工业出版社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2023-10-11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2024-4-11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41</w:t>
            </w: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NB/T 11332-2023</w:t>
            </w:r>
          </w:p>
        </w:tc>
        <w:tc>
          <w:tcPr>
            <w:tcW w:w="2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页岩气 水平井井身质量规范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石油工业出版社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2023-10-11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2024-4-11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42</w:t>
            </w: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NB/T 11333-2023</w:t>
            </w:r>
          </w:p>
        </w:tc>
        <w:tc>
          <w:tcPr>
            <w:tcW w:w="2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页岩气 气田供转水系统技术要求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石油工业出版社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2023-10-11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2024-4-11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43</w:t>
            </w: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NB/T 11334-2023</w:t>
            </w:r>
          </w:p>
        </w:tc>
        <w:tc>
          <w:tcPr>
            <w:tcW w:w="2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页岩气 分布式光纤测试作业及资料解释要求（连续油管传输）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石油工业出版社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2023-10-11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2024-4-11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44</w:t>
            </w: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NB/T 11335-2023</w:t>
            </w:r>
          </w:p>
        </w:tc>
        <w:tc>
          <w:tcPr>
            <w:tcW w:w="2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页岩气 气藏分类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石油工业出版社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2023-10-11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2024-4-11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45</w:t>
            </w: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NB/T 11336-2023</w:t>
            </w:r>
          </w:p>
        </w:tc>
        <w:tc>
          <w:tcPr>
            <w:tcW w:w="2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页岩气 页岩中生物成因硅质的鉴定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石油工业出版社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2023-10-11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2024-4-11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46</w:t>
            </w: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NB/T 11337-2023</w:t>
            </w:r>
          </w:p>
        </w:tc>
        <w:tc>
          <w:tcPr>
            <w:tcW w:w="2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页岩气 平台井组套管变形综合防控规范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石油工业出版社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2023-10-11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2024-4-11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47</w:t>
            </w: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NB/T 11338-2023</w:t>
            </w:r>
          </w:p>
        </w:tc>
        <w:tc>
          <w:tcPr>
            <w:tcW w:w="2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页岩气 吸附气/游离气比例的确定 甲烷碳同位素定量法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石油工业出版社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2023-10-11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2024-4-11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48</w:t>
            </w: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NB/T 11339-2023</w:t>
            </w:r>
          </w:p>
        </w:tc>
        <w:tc>
          <w:tcPr>
            <w:tcW w:w="2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页岩气 开发调整方案编制技术要求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石油工业出版社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2023-10-11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2024-4-11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49</w:t>
            </w: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NB/T 14002.2-2023</w:t>
            </w:r>
          </w:p>
        </w:tc>
        <w:tc>
          <w:tcPr>
            <w:tcW w:w="2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页岩气 储层改造 第2部分：工厂化压裂作业规范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NB/T 14002.2-2017</w:t>
            </w: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石油工业出版社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2023-10-11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2024-4-11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50</w:t>
            </w: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NB/T 14002.5-2023</w:t>
            </w:r>
          </w:p>
        </w:tc>
        <w:tc>
          <w:tcPr>
            <w:tcW w:w="2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页岩气 储层改造 第5部分：水平井钻磨桥塞作业规范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NB/T 14002.5-2016</w:t>
            </w: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石油工业出版社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2023-10-11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2024-4-11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51</w:t>
            </w: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NB/T 14011-2023</w:t>
            </w:r>
          </w:p>
        </w:tc>
        <w:tc>
          <w:tcPr>
            <w:tcW w:w="2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页岩气 地震资料处理解释和预测要求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NB/T 14011-2016</w:t>
            </w: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石油工业出版社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2023-10-11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2024-4-11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52</w:t>
            </w: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NB/T 14014-2023</w:t>
            </w:r>
          </w:p>
        </w:tc>
        <w:tc>
          <w:tcPr>
            <w:tcW w:w="2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页岩气 气井试气作业规范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NB/T 14014-2016</w:t>
            </w: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石油工业出版社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2023-10-11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2024-4-11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53</w:t>
            </w: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NB/T 14015-2023</w:t>
            </w:r>
          </w:p>
        </w:tc>
        <w:tc>
          <w:tcPr>
            <w:tcW w:w="2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页岩气 开发动态分析规范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NB/T 14015-2016</w:t>
            </w: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石油工业出版社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2023-10-11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2024-4-11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54</w:t>
            </w: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NB/T 20057.3-2023</w:t>
            </w:r>
          </w:p>
        </w:tc>
        <w:tc>
          <w:tcPr>
            <w:tcW w:w="2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压水堆核电厂反应堆系统设计 堆芯 第3部分：燃料组件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NB/T 20057.3—2012</w:t>
            </w: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原子能出版社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2023-10-11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2024-4-11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55</w:t>
            </w: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NB/T 20129-2023</w:t>
            </w:r>
          </w:p>
        </w:tc>
        <w:tc>
          <w:tcPr>
            <w:tcW w:w="2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压水堆核电厂核岛应急柴油发电机组的安装、试验与验收技术规程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NB/T 20129-2012</w:t>
            </w: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原子能出版社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2023-10-11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2024-4-11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56</w:t>
            </w: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NB/T 20190-2023</w:t>
            </w:r>
          </w:p>
        </w:tc>
        <w:tc>
          <w:tcPr>
            <w:tcW w:w="2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核电厂生产厂房的噪声控制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NB/T 20190—2012</w:t>
            </w: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原子能出版社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2023-10-11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2024-4-11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57</w:t>
            </w: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NB/T 20196.1-2023</w:t>
            </w:r>
          </w:p>
        </w:tc>
        <w:tc>
          <w:tcPr>
            <w:tcW w:w="2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核空气和气体处理规范 试验规程 第1部分：空气处理系统的现场试验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NB/T 20196.1—2013</w:t>
            </w: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原子能出版社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2023-10-11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2024-4-11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58</w:t>
            </w: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NB/T 20196.2-2023</w:t>
            </w:r>
          </w:p>
        </w:tc>
        <w:tc>
          <w:tcPr>
            <w:tcW w:w="2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核空气和气体处理规范 试验规程 第2部分：气体处理系统的现场试验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原子能出版社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2023-10-11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2024-4-11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59</w:t>
            </w: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  <w:lang w:eastAsia="zh-CN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NB/T 20421.6-202</w:t>
            </w: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3</w:t>
            </w:r>
          </w:p>
        </w:tc>
        <w:tc>
          <w:tcPr>
            <w:tcW w:w="2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核电厂安全重要电缆状态监测方法  第6部分：绝缘电阻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原子能出版社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2023-10-11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2024-4-11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60</w:t>
            </w: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NB/T 20469-2023</w:t>
            </w:r>
          </w:p>
        </w:tc>
        <w:tc>
          <w:tcPr>
            <w:tcW w:w="2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压水堆核电厂失去厂外电源试验技术导则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NB/T 20469-2017</w:t>
            </w: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修改采用RCC-E-2005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原子能出版社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2023-10-11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2024-4-11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61</w:t>
            </w: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NB/T 20677-2023</w:t>
            </w:r>
          </w:p>
        </w:tc>
        <w:tc>
          <w:tcPr>
            <w:tcW w:w="2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核电厂照明设计规范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原子能出版社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2023-10-11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2024-4-11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62</w:t>
            </w: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NB/T 20678-2023</w:t>
            </w:r>
          </w:p>
        </w:tc>
        <w:tc>
          <w:tcPr>
            <w:tcW w:w="2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核电厂安全系统光缆、连接件及接头的鉴定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原子能出版社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2023-10-11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2024-4-11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63</w:t>
            </w: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NB/T 20679-2023</w:t>
            </w:r>
          </w:p>
        </w:tc>
        <w:tc>
          <w:tcPr>
            <w:tcW w:w="2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反应堆压力容器顶盖贯穿件J型焊缝超声及涡流检验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原子能出版社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2023-10-11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2024-4-11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64</w:t>
            </w: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NB/T 20680-2023</w:t>
            </w:r>
          </w:p>
        </w:tc>
        <w:tc>
          <w:tcPr>
            <w:tcW w:w="2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压水堆核电厂二次侧非能动余热排出系统调试技术导则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原子能出版社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2023-10-11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2024-4-11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65</w:t>
            </w: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NB/T 20681-2023</w:t>
            </w:r>
          </w:p>
        </w:tc>
        <w:tc>
          <w:tcPr>
            <w:tcW w:w="2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压水堆核电厂轴封型主泵调试技术导则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原子能出版社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2023-10-11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2024-4-11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66</w:t>
            </w: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NB/T 20682-2023</w:t>
            </w:r>
          </w:p>
        </w:tc>
        <w:tc>
          <w:tcPr>
            <w:tcW w:w="2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压水堆核电厂辐射监测系统调试技术导则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原子能出版社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2023-10-11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2024-4-11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67</w:t>
            </w: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NB/T 20683-2023</w:t>
            </w:r>
          </w:p>
        </w:tc>
        <w:tc>
          <w:tcPr>
            <w:tcW w:w="2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压水堆核电厂地震仪表系统调试技术导则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原子能出版社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2023-10-11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2024-4-11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68</w:t>
            </w: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NB/T 20684.1-2023</w:t>
            </w:r>
          </w:p>
        </w:tc>
        <w:tc>
          <w:tcPr>
            <w:tcW w:w="2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核电厂防腐施工管理规定 第1部分：防腐施工的质量保证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原子能出版社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2023-10-11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2024-4-11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69</w:t>
            </w: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NB/T 20684.2-2023</w:t>
            </w:r>
          </w:p>
        </w:tc>
        <w:tc>
          <w:tcPr>
            <w:tcW w:w="2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核电厂防腐施工管理规定 第2部分：防腐蚀工作人员要求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原子能出版社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2023-10-11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2024-4-11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70</w:t>
            </w: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NB/T 20685-2023</w:t>
            </w:r>
          </w:p>
        </w:tc>
        <w:tc>
          <w:tcPr>
            <w:tcW w:w="2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核电厂关键敏感设备管理导则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原子能出版社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2023-10-11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2024-4-11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71</w:t>
            </w: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NB/T 20686-2023</w:t>
            </w:r>
          </w:p>
        </w:tc>
        <w:tc>
          <w:tcPr>
            <w:tcW w:w="2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压水堆核电厂消耗品化学成分控制技术要求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原子能出版社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2023-10-11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2024-4-11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72</w:t>
            </w: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NB/T 20687-2023</w:t>
            </w:r>
          </w:p>
        </w:tc>
        <w:tc>
          <w:tcPr>
            <w:tcW w:w="2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压水堆核电厂严重事故后堆芯熔融物压力容器内滞留措施要求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原子能出版社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2023-10-11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2024-4-11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73</w:t>
            </w: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NB/T 20688-2023</w:t>
            </w:r>
          </w:p>
        </w:tc>
        <w:tc>
          <w:tcPr>
            <w:tcW w:w="2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压水堆核电厂反应堆冷却剂系统设计瞬态分析要求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原子能出版社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2023-10-11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2024-4-11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74</w:t>
            </w: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NB/T 20689-2023</w:t>
            </w:r>
          </w:p>
        </w:tc>
        <w:tc>
          <w:tcPr>
            <w:tcW w:w="2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压水堆核电厂核岛总体布置设计准则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原子能出版社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2023-10-11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2024-4-11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75</w:t>
            </w: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NB/T 20690-2023</w:t>
            </w:r>
          </w:p>
        </w:tc>
        <w:tc>
          <w:tcPr>
            <w:tcW w:w="2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压水堆核电厂乏燃料水池冷却和净化系统设计准则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原子能出版社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2023-10-11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2024-4-11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76</w:t>
            </w: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NB/T 20691-2023</w:t>
            </w:r>
          </w:p>
        </w:tc>
        <w:tc>
          <w:tcPr>
            <w:tcW w:w="2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核电厂职业病防护设施设计专篇内容和深度规定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原子能出版社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2023-10-11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2024-4-11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77</w:t>
            </w: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NB/T 20692-2023</w:t>
            </w:r>
          </w:p>
        </w:tc>
        <w:tc>
          <w:tcPr>
            <w:tcW w:w="2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核电厂维修规则的建立与应用导则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原子能出版社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2023-10-11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2024-4-11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78</w:t>
            </w: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NB/T 20693-2023</w:t>
            </w:r>
          </w:p>
        </w:tc>
        <w:tc>
          <w:tcPr>
            <w:tcW w:w="2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核电厂安全设施设计专篇格式内容和深度规定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原子能出版社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2023-10-11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2024-4-11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79</w:t>
            </w: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NB/T 20694-2023</w:t>
            </w:r>
          </w:p>
        </w:tc>
        <w:tc>
          <w:tcPr>
            <w:tcW w:w="2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压水堆核电厂主蒸汽管道断裂事故分析要求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原子能出版社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2023-10-11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2024-4-11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80</w:t>
            </w: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NB/T 20695-2023</w:t>
            </w:r>
          </w:p>
        </w:tc>
        <w:tc>
          <w:tcPr>
            <w:tcW w:w="2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核电厂堆外中子探测器鉴定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原子能出版社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2023-10-11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2024-4-11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81</w:t>
            </w: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NB/T 20696-2023</w:t>
            </w:r>
          </w:p>
        </w:tc>
        <w:tc>
          <w:tcPr>
            <w:tcW w:w="2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核电厂催化板式非能动氢气复合器定期检查与试验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原子能出版社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2023-10-11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2024-4-11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82</w:t>
            </w: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NB/T 20697-2023</w:t>
            </w:r>
          </w:p>
        </w:tc>
        <w:tc>
          <w:tcPr>
            <w:tcW w:w="2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核动力厂场内应急设施设计规范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原子能出版社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2023-10-11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2024-4-11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83</w:t>
            </w: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NB/T 20698-2023</w:t>
            </w:r>
          </w:p>
        </w:tc>
        <w:tc>
          <w:tcPr>
            <w:tcW w:w="2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压水堆核电厂反应性控制棒补偿技术要求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原子能出版社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2023-10-11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2024-4-11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84</w:t>
            </w: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NB/T 20699-2023</w:t>
            </w:r>
          </w:p>
        </w:tc>
        <w:tc>
          <w:tcPr>
            <w:tcW w:w="2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压水堆核电厂反应堆流动稳定性评定方法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原子能出版社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2023-10-11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2024-4-11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85</w:t>
            </w: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NB/T 20700-2023</w:t>
            </w:r>
          </w:p>
        </w:tc>
        <w:tc>
          <w:tcPr>
            <w:tcW w:w="2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压水堆核电厂燃料燃耗信用制方法应用导则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原子能出版社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2023-10-11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2024-4-11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86</w:t>
            </w: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NB/T 20701-2023</w:t>
            </w:r>
          </w:p>
        </w:tc>
        <w:tc>
          <w:tcPr>
            <w:tcW w:w="2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核电厂在役检查大纲编制规范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原子能出版社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2023-10-11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2024-4-11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87</w:t>
            </w: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NB/T 20702-2023</w:t>
            </w:r>
          </w:p>
        </w:tc>
        <w:tc>
          <w:tcPr>
            <w:tcW w:w="2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核电厂工业安全标识使用导则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原子能出版社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2023-10-11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2024-4-11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88</w:t>
            </w: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NB/T 20703-2023</w:t>
            </w:r>
          </w:p>
        </w:tc>
        <w:tc>
          <w:tcPr>
            <w:tcW w:w="2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bookmarkStart w:id="1" w:name="RANGE!C89"/>
            <w:r>
              <w:rPr>
                <w:rFonts w:hint="eastAsia" w:ascii="仿宋_GB2312" w:hAnsi="等线" w:eastAsia="仿宋_GB2312"/>
                <w:color w:val="000000"/>
              </w:rPr>
              <w:t>压水堆核电厂化学控制效能指标</w:t>
            </w:r>
            <w:bookmarkEnd w:id="1"/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原子能出版社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2023-10-11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2024-4-11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89</w:t>
            </w: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NB/T 20704-2023</w:t>
            </w:r>
          </w:p>
        </w:tc>
        <w:tc>
          <w:tcPr>
            <w:tcW w:w="2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运行核电厂长期资产管理导则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原子能出版社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2023-10-11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2024-4-11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90</w:t>
            </w: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NB/T 20705-2023</w:t>
            </w:r>
          </w:p>
        </w:tc>
        <w:tc>
          <w:tcPr>
            <w:tcW w:w="2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核电厂退役辐射防护与监测要求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原子能出版社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2023-10-11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2024-4-11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91</w:t>
            </w: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NB/T 20706-2023</w:t>
            </w:r>
          </w:p>
        </w:tc>
        <w:tc>
          <w:tcPr>
            <w:tcW w:w="2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核电厂机组性能指数管理导则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原子能出版社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2023-10-11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2024-4-11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92</w:t>
            </w: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NB/T 20707-2023</w:t>
            </w:r>
          </w:p>
        </w:tc>
        <w:tc>
          <w:tcPr>
            <w:tcW w:w="2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核电厂铁素体钢焊缝相控阵超声检测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原子能出版社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2023-10-11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2024-4-11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93</w:t>
            </w: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NB/T 20708-2023</w:t>
            </w:r>
          </w:p>
        </w:tc>
        <w:tc>
          <w:tcPr>
            <w:tcW w:w="2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压水堆核电厂燃料棒性能分析方法与模型要求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原子能出版社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2023-10-11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2024-4-11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94</w:t>
            </w: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NB/T 20709-2023</w:t>
            </w:r>
          </w:p>
        </w:tc>
        <w:tc>
          <w:tcPr>
            <w:tcW w:w="2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核电厂射线照相底片数字化技术规范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原子能出版社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2023-10-11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2024-4-11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95</w:t>
            </w: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NB/T 20710-2023</w:t>
            </w:r>
          </w:p>
        </w:tc>
        <w:tc>
          <w:tcPr>
            <w:tcW w:w="2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核电厂退役费用编制方法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原子能出版社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2023-10-11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2024-4-11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96</w:t>
            </w: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NB/T 25018-2023</w:t>
            </w:r>
          </w:p>
        </w:tc>
        <w:tc>
          <w:tcPr>
            <w:tcW w:w="2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核电厂常规岛与辅助配套设施可靠性数据管理导则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NB/T 25018-2014</w:t>
            </w: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中国电力出版社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2023-10-11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2024-4-11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97</w:t>
            </w: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NB/T 33017-2023</w:t>
            </w:r>
          </w:p>
        </w:tc>
        <w:tc>
          <w:tcPr>
            <w:tcW w:w="2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电动汽车智能充换电运营服务系统技术规范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NB/T 33017-2015</w:t>
            </w: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中国电力出版社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2023-10-11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2024-4-11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98</w:t>
            </w: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NB/T 35029-2023</w:t>
            </w:r>
          </w:p>
        </w:tc>
        <w:tc>
          <w:tcPr>
            <w:tcW w:w="2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水电工程测量规范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NB/T 35029-2014</w:t>
            </w: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中国水利水电出版社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2023-10-11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2024-4-11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99</w:t>
            </w: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NB/T</w:t>
            </w: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 xml:space="preserve"> </w:t>
            </w:r>
            <w:r>
              <w:rPr>
                <w:rFonts w:hint="eastAsia" w:ascii="仿宋_GB2312" w:hAnsi="等线" w:eastAsia="仿宋_GB2312"/>
                <w:color w:val="000000"/>
              </w:rPr>
              <w:t>47013.11-2023</w:t>
            </w:r>
          </w:p>
        </w:tc>
        <w:tc>
          <w:tcPr>
            <w:tcW w:w="2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承压设备无损检测 第11部分：射线数字成像检测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NB/T</w:t>
            </w: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 xml:space="preserve"> </w:t>
            </w:r>
            <w:r>
              <w:rPr>
                <w:rFonts w:hint="eastAsia" w:ascii="仿宋_GB2312" w:hAnsi="等线" w:eastAsia="仿宋_GB2312"/>
                <w:color w:val="000000"/>
              </w:rPr>
              <w:t>47013.11-2015</w:t>
            </w: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北京科学技术出版社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2023-10-11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2024-4-11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100</w:t>
            </w: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NB/T</w:t>
            </w: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 xml:space="preserve"> </w:t>
            </w:r>
            <w:r>
              <w:rPr>
                <w:rFonts w:hint="eastAsia" w:ascii="仿宋_GB2312" w:hAnsi="等线" w:eastAsia="仿宋_GB2312"/>
                <w:color w:val="000000"/>
              </w:rPr>
              <w:t>47013.14-2023</w:t>
            </w:r>
          </w:p>
        </w:tc>
        <w:tc>
          <w:tcPr>
            <w:tcW w:w="2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承压设备无损检测 第14部分：射线计算机辅助成像检测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NB/T</w:t>
            </w: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 xml:space="preserve"> </w:t>
            </w:r>
            <w:bookmarkStart w:id="2" w:name="_GoBack"/>
            <w:bookmarkEnd w:id="2"/>
            <w:r>
              <w:rPr>
                <w:rFonts w:hint="eastAsia" w:ascii="仿宋_GB2312" w:hAnsi="等线" w:eastAsia="仿宋_GB2312"/>
                <w:color w:val="000000"/>
              </w:rPr>
              <w:t>47013.14-2016</w:t>
            </w: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北京科学技术出版社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2023-10-11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2024-4-11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101</w:t>
            </w: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DL/T 277-2023</w:t>
            </w:r>
          </w:p>
        </w:tc>
        <w:tc>
          <w:tcPr>
            <w:tcW w:w="2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高压直流输电系统控制保护整定技术规程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DL/T 277-2012</w:t>
            </w: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中国电力出版社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2023-10-11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2024-4-11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102</w:t>
            </w: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DL/T 296-2023</w:t>
            </w:r>
          </w:p>
        </w:tc>
        <w:tc>
          <w:tcPr>
            <w:tcW w:w="2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火电厂烟气脱硝技术导则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DL/T 296-2011</w:t>
            </w: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中国电力出版社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2023-10-11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2024-4-11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103</w:t>
            </w: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DL/T 297-2023</w:t>
            </w:r>
          </w:p>
        </w:tc>
        <w:tc>
          <w:tcPr>
            <w:tcW w:w="2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汽轮发电机合金轴瓦超声检测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DL/T 297-2011</w:t>
            </w: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中国电力出版社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2023-10-11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2024-4-11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104</w:t>
            </w: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DL/T 298-2023</w:t>
            </w:r>
          </w:p>
        </w:tc>
        <w:tc>
          <w:tcPr>
            <w:tcW w:w="2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发电机定子绕组端部电晕检测与评定导则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DL/T 298-2011</w:t>
            </w: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中国电力出版社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2023-10-11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2024-4-11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105</w:t>
            </w: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DL/T 326-2023</w:t>
            </w:r>
          </w:p>
        </w:tc>
        <w:tc>
          <w:tcPr>
            <w:tcW w:w="2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步进式引张线仪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DL/T 326-2010</w:t>
            </w: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中国电力出版社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2023-10-11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2024-4-11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106</w:t>
            </w: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DL/T 327-2023</w:t>
            </w:r>
          </w:p>
        </w:tc>
        <w:tc>
          <w:tcPr>
            <w:tcW w:w="2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步进式垂线坐标仪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DL/T 327-2010</w:t>
            </w: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中国电力出版社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2023-10-11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2024-4-11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107</w:t>
            </w: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DL/T 346-2023</w:t>
            </w:r>
          </w:p>
        </w:tc>
        <w:tc>
          <w:tcPr>
            <w:tcW w:w="2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设备线夹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DL/T 346-2010</w:t>
            </w: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中国电力出版社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2023-10-11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2024-4-11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108</w:t>
            </w: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DL/T 347-2023</w:t>
            </w:r>
          </w:p>
        </w:tc>
        <w:tc>
          <w:tcPr>
            <w:tcW w:w="2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T型线夹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DL/T 347-2010</w:t>
            </w: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中国电力出版社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2023-10-11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2024-4-11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109</w:t>
            </w: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DL/T 369-2023</w:t>
            </w:r>
          </w:p>
        </w:tc>
        <w:tc>
          <w:tcPr>
            <w:tcW w:w="2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电站锅炉管内压蠕变试验方法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DL/T 369-2010</w:t>
            </w: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中国电力出版社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2023-10-11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2024-4-11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110</w:t>
            </w: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DL/T 438-2023</w:t>
            </w:r>
          </w:p>
        </w:tc>
        <w:tc>
          <w:tcPr>
            <w:tcW w:w="2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火力发电厂金属技术监督规程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DL/T 438-2016</w:t>
            </w: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中国电力出版社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2023-10-11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2024-4-11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111</w:t>
            </w: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DL/T 536-2023</w:t>
            </w:r>
          </w:p>
        </w:tc>
        <w:tc>
          <w:tcPr>
            <w:tcW w:w="2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交流耦合电容器及电容分压器使用技术条件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DL/T 536-1993</w:t>
            </w: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中国电力出版社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2023-10-11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2024-4-11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112</w:t>
            </w: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DL/T 543-2023</w:t>
            </w:r>
          </w:p>
        </w:tc>
        <w:tc>
          <w:tcPr>
            <w:tcW w:w="2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火电厂水处理设备验收导则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DL/T 543-2009</w:t>
            </w: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中国电力出版社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2023-10-11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2024-4-11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113</w:t>
            </w: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DL/T 567.4-2023</w:t>
            </w:r>
          </w:p>
        </w:tc>
        <w:tc>
          <w:tcPr>
            <w:tcW w:w="2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火力发电厂燃料试验方法 第4部分：入炉煤的采取和制备方法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DL/T 567.4-1995</w:t>
            </w: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中国电力出版社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2023-10-11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2024-4-11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114</w:t>
            </w: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DL/T 616-2023</w:t>
            </w:r>
          </w:p>
        </w:tc>
        <w:tc>
          <w:tcPr>
            <w:tcW w:w="2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火力发电厂汽水管道与支吊架维修调整导则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DL/T 616-2006</w:t>
            </w: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中国电力出版社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2023-10-11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2024-4-11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115</w:t>
            </w: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DL/T 653-2023</w:t>
            </w:r>
          </w:p>
        </w:tc>
        <w:tc>
          <w:tcPr>
            <w:tcW w:w="2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高压并联电容器用放电线圈使用技术条件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DL/T 653-2009</w:t>
            </w: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中国电力出版社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2023-10-11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2024-4-11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116</w:t>
            </w: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DL/T 678-2023</w:t>
            </w:r>
          </w:p>
        </w:tc>
        <w:tc>
          <w:tcPr>
            <w:tcW w:w="2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电力钢结构焊接通用技术条件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DL/T 678-2013</w:t>
            </w: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中国电力出版社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2023-10-11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2024-4-11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117</w:t>
            </w: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DL/T 689-2023</w:t>
            </w:r>
          </w:p>
        </w:tc>
        <w:tc>
          <w:tcPr>
            <w:tcW w:w="2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输变电工程液压压接机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DL/T 689-2012</w:t>
            </w: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中国电力出版社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2023-10-11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2024-4-11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118</w:t>
            </w: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DL/T 725-2023</w:t>
            </w:r>
          </w:p>
        </w:tc>
        <w:tc>
          <w:tcPr>
            <w:tcW w:w="2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电力用电流互感器使用技术规范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DL/T 725-2013</w:t>
            </w: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中国电力出版社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2023-10-11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2024-4-11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119</w:t>
            </w: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DL/T 726-2023</w:t>
            </w:r>
          </w:p>
        </w:tc>
        <w:tc>
          <w:tcPr>
            <w:tcW w:w="2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电力用电磁式电压互感器使用技术规范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DL/T 726-2013</w:t>
            </w: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中国电力出版社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2023-10-11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2024-4-11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120</w:t>
            </w: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DL/T 735-2023</w:t>
            </w:r>
          </w:p>
        </w:tc>
        <w:tc>
          <w:tcPr>
            <w:tcW w:w="2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大型汽轮发电机定子绕组端部动态特性的测量及评定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DL/T 735-2000</w:t>
            </w: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中国电力出版社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2023-10-11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2024-4-11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121</w:t>
            </w: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DL/T 752-2023</w:t>
            </w:r>
          </w:p>
        </w:tc>
        <w:tc>
          <w:tcPr>
            <w:tcW w:w="2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火力发电厂异种钢焊接技术规程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DL/T 752-2010</w:t>
            </w: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中国电力出版社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2023-10-11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2024-4-11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122</w:t>
            </w: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DL/T 756-2023</w:t>
            </w:r>
          </w:p>
        </w:tc>
        <w:tc>
          <w:tcPr>
            <w:tcW w:w="2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悬垂线夹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DL/T 756-2009</w:t>
            </w: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中国电力出版社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2023-10-11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2024-4-11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123</w:t>
            </w: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DL/T 759-2023</w:t>
            </w:r>
          </w:p>
        </w:tc>
        <w:tc>
          <w:tcPr>
            <w:tcW w:w="2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连接金具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DL/T 759-2009</w:t>
            </w: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中国电力出版社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2023-10-11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2024-4-11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124</w:t>
            </w: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DL/T 850-2023</w:t>
            </w:r>
          </w:p>
        </w:tc>
        <w:tc>
          <w:tcPr>
            <w:tcW w:w="2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电站配管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DL/T 850-2004</w:t>
            </w: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中国电力出版社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2023-10-11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2024-4-11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125</w:t>
            </w: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DL/T 906-2023</w:t>
            </w:r>
          </w:p>
        </w:tc>
        <w:tc>
          <w:tcPr>
            <w:tcW w:w="2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仓泵进、出料阀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DL/T 906-2004</w:t>
            </w: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中国电力出版社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2023-10-11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2024-4-11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126</w:t>
            </w: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DL/T 970-2023</w:t>
            </w:r>
          </w:p>
        </w:tc>
        <w:tc>
          <w:tcPr>
            <w:tcW w:w="2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大型汽轮发电机非正常及特殊运行及维护导则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DL/T 970-2005</w:t>
            </w: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中国电力出版社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2023-10-11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2024-4-11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127</w:t>
            </w: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DL/T 1005-2023</w:t>
            </w:r>
          </w:p>
        </w:tc>
        <w:tc>
          <w:tcPr>
            <w:tcW w:w="2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高温单辊碎渣机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DL/T 1005-2006</w:t>
            </w: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中国电力出版社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2023-10-11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2024-4-11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128</w:t>
            </w: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DL/T 1066-2023</w:t>
            </w:r>
          </w:p>
        </w:tc>
        <w:tc>
          <w:tcPr>
            <w:tcW w:w="2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水电站设备检修管理导则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DL/T 1066-2007</w:t>
            </w: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中国电力出版社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2023-10-11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2024-4-11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129</w:t>
            </w: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DL/T 1092-2023</w:t>
            </w:r>
          </w:p>
        </w:tc>
        <w:tc>
          <w:tcPr>
            <w:tcW w:w="2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电力系统安全稳定控制系统通用技术条件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DL/T 1092-2008</w:t>
            </w: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中国电力出版社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2023-10-11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2024-4-11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130</w:t>
            </w: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DL/T 1108-2023</w:t>
            </w:r>
          </w:p>
        </w:tc>
        <w:tc>
          <w:tcPr>
            <w:tcW w:w="2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电力工程项目编号及产品文件管理规定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DL/T 1108-2009、DL/T</w:t>
            </w: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 xml:space="preserve"> </w:t>
            </w:r>
            <w:r>
              <w:rPr>
                <w:rFonts w:hint="eastAsia" w:ascii="仿宋_GB2312" w:hAnsi="等线" w:eastAsia="仿宋_GB2312"/>
                <w:color w:val="000000"/>
              </w:rPr>
              <w:t>503-2009</w:t>
            </w: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中国计划出版社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2023-10-11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2024-4-11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131</w:t>
            </w: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DL/T 1127-2023</w:t>
            </w:r>
          </w:p>
        </w:tc>
        <w:tc>
          <w:tcPr>
            <w:tcW w:w="2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等离子体点火系统设计与运行导则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DL/T 1127-2010</w:t>
            </w: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中国电力出版社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2023-10-11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2024-4-11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132</w:t>
            </w: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DL/T 1190-2023</w:t>
            </w:r>
          </w:p>
        </w:tc>
        <w:tc>
          <w:tcPr>
            <w:tcW w:w="2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绝缘穿刺线夹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DL/T 1190-2012</w:t>
            </w: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中国电力出版社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2023-10-11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2024-4-11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133</w:t>
            </w: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DL/T 1197-2023</w:t>
            </w:r>
          </w:p>
        </w:tc>
        <w:tc>
          <w:tcPr>
            <w:tcW w:w="2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水轮发电机组状态在线监测系统技术条件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DL/T 1197-2012</w:t>
            </w: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中国电力出版社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2023-10-11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2024-4-11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134</w:t>
            </w: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DL/T 1209.1-2023</w:t>
            </w:r>
          </w:p>
        </w:tc>
        <w:tc>
          <w:tcPr>
            <w:tcW w:w="2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电力登高作业及防护器具技术要求 第1部分：抱杆梯、梯具、梯台及过桥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DL/T 1209.1-2013</w:t>
            </w: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中国电力出版社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2023-10-11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2024-4-11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135</w:t>
            </w: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DL/T 1209.2-2023</w:t>
            </w:r>
          </w:p>
        </w:tc>
        <w:tc>
          <w:tcPr>
            <w:tcW w:w="2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电力登高作业及防护器具技术要求 第2部分：拆卸型检修平台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DL/T 1209.2-2014</w:t>
            </w: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中国电力出版社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2023-10-11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2024-4-11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136</w:t>
            </w: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DL/T 1209.3-2023</w:t>
            </w:r>
          </w:p>
        </w:tc>
        <w:tc>
          <w:tcPr>
            <w:tcW w:w="2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电力登高作业及防护器具技术要求 第3部分：升降型检修平台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DL/T 1209.3-2014</w:t>
            </w: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中国电力出版社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2023-10-11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2024-4-11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137</w:t>
            </w: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DL/T 1209.4-2023</w:t>
            </w:r>
          </w:p>
        </w:tc>
        <w:tc>
          <w:tcPr>
            <w:tcW w:w="2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电力登高作业及防护器具技术要求 第4部分：复合材料快装脚手架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DL/T 1209.4-2014</w:t>
            </w: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中国电力出版社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2023-10-11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2024-4-11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138</w:t>
            </w: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DL/T 1215.3-2023</w:t>
            </w:r>
          </w:p>
        </w:tc>
        <w:tc>
          <w:tcPr>
            <w:tcW w:w="2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链式静止同步补偿器 第3部分：控制保护监测系统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DL/T 1215.3-2013</w:t>
            </w: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中国电力出版社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2023-10-11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2024-4-11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139</w:t>
            </w: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DL/T 1228-2023</w:t>
            </w:r>
          </w:p>
        </w:tc>
        <w:tc>
          <w:tcPr>
            <w:tcW w:w="2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电能质量监测装置运行规程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DL/T 1228-2013</w:t>
            </w: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中国电力出版社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2023-10-11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2024-4-11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140</w:t>
            </w: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DL/T 1268-2023</w:t>
            </w:r>
          </w:p>
        </w:tc>
        <w:tc>
          <w:tcPr>
            <w:tcW w:w="2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三相组合电力互感器使用技术规范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DL/T 1268-2013</w:t>
            </w: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中国电力出版社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2023-10-11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2024-4-11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141</w:t>
            </w: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DL/T 1269-2023</w:t>
            </w:r>
          </w:p>
        </w:tc>
        <w:tc>
          <w:tcPr>
            <w:tcW w:w="2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火力发电建设工程机组蒸汽吹管导则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DL/T 1269-2013</w:t>
            </w: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中国电力出版社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2023-10-11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2024-4-11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142</w:t>
            </w: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DL/T 1270-2023</w:t>
            </w:r>
          </w:p>
        </w:tc>
        <w:tc>
          <w:tcPr>
            <w:tcW w:w="2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火力发电建设工程机组甩负荷试验导则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DL/T 1270-2013</w:t>
            </w: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中国电力出版社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2023-10-11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2024-4-11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143</w:t>
            </w: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DL/T 1282-2023</w:t>
            </w:r>
          </w:p>
        </w:tc>
        <w:tc>
          <w:tcPr>
            <w:tcW w:w="2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火力发电厂气相缓蚀剂技术要求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DL/T 1282-2013</w:t>
            </w: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中国电力出版社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2023-10-11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2024-4-11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144</w:t>
            </w: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DL/T 1317-2023</w:t>
            </w:r>
          </w:p>
        </w:tc>
        <w:tc>
          <w:tcPr>
            <w:tcW w:w="2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火力发电厂焊接接头超声衍射时差检测技术规程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DL/T 1317-2014</w:t>
            </w: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中国电力出版社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2023-10-11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2024-4-11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145</w:t>
            </w: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DL/T 1476-2023</w:t>
            </w:r>
          </w:p>
        </w:tc>
        <w:tc>
          <w:tcPr>
            <w:tcW w:w="2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电力安全工器具预防性试验规程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DL/T 1476-2015</w:t>
            </w: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中国电力出版社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2023-10-11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2024-4-11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146</w:t>
            </w: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DL/T 1523-2023</w:t>
            </w:r>
          </w:p>
        </w:tc>
        <w:tc>
          <w:tcPr>
            <w:tcW w:w="2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同步发电机进相试验导则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DL/T 1523-2016</w:t>
            </w: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中国电力出版社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2023-10-11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2024-4-11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147</w:t>
            </w: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DL/T 1663-2023</w:t>
            </w:r>
          </w:p>
        </w:tc>
        <w:tc>
          <w:tcPr>
            <w:tcW w:w="2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智能变电站继电保护在线监视和智能诊断技术导则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DL/T 1663-2016</w:t>
            </w: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中国电力出版社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2023-10-11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2024-4-11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148</w:t>
            </w: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DL/T 1766.6-2023</w:t>
            </w:r>
          </w:p>
        </w:tc>
        <w:tc>
          <w:tcPr>
            <w:tcW w:w="2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水氢氢冷汽轮发电机检修导则 第6部分：励磁系统检修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中国电力出版社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2023-10-11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2024-4-11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149</w:t>
            </w: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DL/T 1766.7-2023</w:t>
            </w:r>
          </w:p>
        </w:tc>
        <w:tc>
          <w:tcPr>
            <w:tcW w:w="2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水氢氢冷汽轮发电机检修导则 第7部分：附属系统检修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中国电力出版社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2023-10-11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2024-4-11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150</w:t>
            </w: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DL/T 2025.6-2023</w:t>
            </w:r>
          </w:p>
        </w:tc>
        <w:tc>
          <w:tcPr>
            <w:tcW w:w="2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电站阀门检修导则 第6部分：安全阀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中国电力出版社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2023-10-11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2024-4-11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151</w:t>
            </w: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DL/T 2475.2-2023</w:t>
            </w:r>
          </w:p>
        </w:tc>
        <w:tc>
          <w:tcPr>
            <w:tcW w:w="2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电气设备电压暂降及短时中断耐受能力测试技术规范 第2部分：低压开关设备和控制设备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中国电力出版社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2023-10-11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2024-4-11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152</w:t>
            </w: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DL/T 2599.9-2023</w:t>
            </w:r>
          </w:p>
        </w:tc>
        <w:tc>
          <w:tcPr>
            <w:tcW w:w="2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电力变压器用组部件和原材料选用导则 第9部分：吸湿器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DL/T 1386-2014</w:t>
            </w: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中国电力出版社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2023-10-11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2024-4-11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153</w:t>
            </w: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DL/T 2627.1-2023</w:t>
            </w:r>
          </w:p>
        </w:tc>
        <w:tc>
          <w:tcPr>
            <w:tcW w:w="2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输变电设备状态预测技术导则 第1部分：通用技术要求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中国电力出版社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2023-10-11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2024-4-11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154</w:t>
            </w: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DL/T 2628-2023</w:t>
            </w:r>
          </w:p>
        </w:tc>
        <w:tc>
          <w:tcPr>
            <w:tcW w:w="2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水电站水工建筑物缺陷管理规范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中国电力出版社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2023-10-11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2024-4-11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155</w:t>
            </w: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DL/T 2629-2023</w:t>
            </w:r>
          </w:p>
        </w:tc>
        <w:tc>
          <w:tcPr>
            <w:tcW w:w="2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电能计量设备用磁开关传感器技术规范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中国电力出版社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2023-10-11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2024-4-11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156</w:t>
            </w: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DL/T 2630-2023</w:t>
            </w:r>
          </w:p>
        </w:tc>
        <w:tc>
          <w:tcPr>
            <w:tcW w:w="2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电力电缆线路用接地箱技术规范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中国电力出版社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2023-10-11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2024-4-11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157</w:t>
            </w: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DL/T 2631-2023</w:t>
            </w:r>
          </w:p>
        </w:tc>
        <w:tc>
          <w:tcPr>
            <w:tcW w:w="2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城市综合管廊内电力电缆线路技术要求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中国电力出版社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2023-10-11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2024-4-11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158</w:t>
            </w: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DL/T 2632-2023</w:t>
            </w:r>
          </w:p>
        </w:tc>
        <w:tc>
          <w:tcPr>
            <w:tcW w:w="2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电容器放电线圈运维规程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中国电力出版社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2023-10-11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2024-4-11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159</w:t>
            </w: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DL/T 2633-2023</w:t>
            </w:r>
          </w:p>
        </w:tc>
        <w:tc>
          <w:tcPr>
            <w:tcW w:w="2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柔性直流换流器用直流电容器技术导则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中国电力出版社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2023-10-11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2024-4-11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160</w:t>
            </w: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DL/T 2634-2023</w:t>
            </w:r>
          </w:p>
        </w:tc>
        <w:tc>
          <w:tcPr>
            <w:tcW w:w="2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35kV及以下陶瓷电容传感器型局部放电监测装置技术规范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中国电力出版社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2023-10-11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2024-4-11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161</w:t>
            </w: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DL/T 2635-2023</w:t>
            </w:r>
          </w:p>
        </w:tc>
        <w:tc>
          <w:tcPr>
            <w:tcW w:w="2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直流输电用直流耦合电容器及电容分压器用技术条件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中国电力出版社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2023-10-11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2024-4-11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162</w:t>
            </w: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DL/T 2636-2023</w:t>
            </w:r>
          </w:p>
        </w:tc>
        <w:tc>
          <w:tcPr>
            <w:tcW w:w="2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柔性直流输电运行人员控制系统监控功能规范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中国电力出版社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2023-10-11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2024-4-11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163</w:t>
            </w: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DL/T 2637-2023</w:t>
            </w:r>
          </w:p>
        </w:tc>
        <w:tc>
          <w:tcPr>
            <w:tcW w:w="2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混合式高压直流断路器现场试验规范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中国电力出版社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2023-10-11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2024-4-11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164</w:t>
            </w: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DL/T 2638-2023</w:t>
            </w:r>
          </w:p>
        </w:tc>
        <w:tc>
          <w:tcPr>
            <w:tcW w:w="2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火力发电厂间接空冷系统运行导则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中国电力出版社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2023-10-11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2024-4-11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165</w:t>
            </w: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DL/T 2639-2023</w:t>
            </w:r>
          </w:p>
        </w:tc>
        <w:tc>
          <w:tcPr>
            <w:tcW w:w="2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变电站间隔内设备集成式接线试验方法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中国电力出版社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2023-10-11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2024-4-11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166</w:t>
            </w: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DL/T 2640-2023</w:t>
            </w:r>
          </w:p>
        </w:tc>
        <w:tc>
          <w:tcPr>
            <w:tcW w:w="2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电力设备剩磁检测及工频去磁现场试验技术导则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中国电力出版社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2023-10-11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2024-4-11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167</w:t>
            </w: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DL/T 2641-2023</w:t>
            </w:r>
          </w:p>
        </w:tc>
        <w:tc>
          <w:tcPr>
            <w:tcW w:w="2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宽频电压测量装置选用导则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中国电力出版社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2023-10-11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2024-4-11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168</w:t>
            </w: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DL/T 2642-2023</w:t>
            </w:r>
          </w:p>
        </w:tc>
        <w:tc>
          <w:tcPr>
            <w:tcW w:w="2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燃煤电厂袋式除尘器滤袋全寿命周期管理技术导则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中国电力出版社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2023-10-11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2024-4-11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169</w:t>
            </w: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DL/T 2643-2023</w:t>
            </w:r>
          </w:p>
        </w:tc>
        <w:tc>
          <w:tcPr>
            <w:tcW w:w="2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火电厂末端废水零排放系统性能试验导则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中国电力出版社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2023-10-11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2024-4-11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170</w:t>
            </w: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DL/T 2644-2023</w:t>
            </w:r>
          </w:p>
        </w:tc>
        <w:tc>
          <w:tcPr>
            <w:tcW w:w="2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火电厂环境保护监督管理指标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中国电力出版社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2023-10-11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2024-4-11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171</w:t>
            </w: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DL/T 2645-2023</w:t>
            </w:r>
          </w:p>
        </w:tc>
        <w:tc>
          <w:tcPr>
            <w:tcW w:w="2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配电网分布式保护技术规范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中国电力出版社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2023-10-11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2024-4-11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172</w:t>
            </w: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DL/T 2646-2023</w:t>
            </w:r>
          </w:p>
        </w:tc>
        <w:tc>
          <w:tcPr>
            <w:tcW w:w="2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数模一体继电保护试验装置技术规范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中国电力出版社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2023-10-11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2024-4-11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173</w:t>
            </w: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DL/T 2647-2023</w:t>
            </w:r>
          </w:p>
        </w:tc>
        <w:tc>
          <w:tcPr>
            <w:tcW w:w="2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智能变电站配置文件运行管控系统技术规范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中国电力出版社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2023-10-11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2024-4-11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174</w:t>
            </w: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DL/T 2648-2023</w:t>
            </w:r>
          </w:p>
        </w:tc>
        <w:tc>
          <w:tcPr>
            <w:tcW w:w="2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精准切负荷安全稳定控制系统技术规范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中国电力出版社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2023-10-11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2024-4-11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175</w:t>
            </w: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DL/T 2649-2023</w:t>
            </w:r>
          </w:p>
        </w:tc>
        <w:tc>
          <w:tcPr>
            <w:tcW w:w="2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串联变压器继电保护技术导则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中国电力出版社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2023-10-11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2024-4-11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176</w:t>
            </w: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DL/T 2650-2023</w:t>
            </w:r>
          </w:p>
        </w:tc>
        <w:tc>
          <w:tcPr>
            <w:tcW w:w="2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电力工程接地金属材料技术监督导则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中国电力出版社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2023-10-11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2024-4-11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177</w:t>
            </w: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DL/T 2651-2023</w:t>
            </w:r>
          </w:p>
        </w:tc>
        <w:tc>
          <w:tcPr>
            <w:tcW w:w="2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配电带电作业人员高空救援技术导则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中国电力出版社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2023-10-11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2024-4-11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178</w:t>
            </w: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DL/T 2652-2023</w:t>
            </w:r>
          </w:p>
        </w:tc>
        <w:tc>
          <w:tcPr>
            <w:tcW w:w="2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带电作业用便携式升降装置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中国电力出版社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2023-10-11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2024-4-11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179</w:t>
            </w: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DL/T 2653-2023</w:t>
            </w:r>
          </w:p>
        </w:tc>
        <w:tc>
          <w:tcPr>
            <w:tcW w:w="2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柔性直流电网安全稳定分析导则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中国电力出版社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2023-10-11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2024-4-11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180</w:t>
            </w: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DL/T 2654-2023</w:t>
            </w:r>
          </w:p>
        </w:tc>
        <w:tc>
          <w:tcPr>
            <w:tcW w:w="2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水电站设备检修规程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中国电力出版社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2023-10-11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2024-4-11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181</w:t>
            </w: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DL/T 2655-2023</w:t>
            </w:r>
          </w:p>
        </w:tc>
        <w:tc>
          <w:tcPr>
            <w:tcW w:w="2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发电企业安全生产标准化实施指南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中国电力出版社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2023-10-11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2024-4-11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182</w:t>
            </w: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DL/T 2656-2023</w:t>
            </w:r>
          </w:p>
        </w:tc>
        <w:tc>
          <w:tcPr>
            <w:tcW w:w="2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用于供热的引射混流装置选型和验收导则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中国电力出版社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2023-10-11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2024-4-11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183</w:t>
            </w: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DL/T 2657-2023</w:t>
            </w:r>
          </w:p>
        </w:tc>
        <w:tc>
          <w:tcPr>
            <w:tcW w:w="2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发电厂供热管网腐蚀与结垢控制导则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中国电力出版社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2023-10-11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2024-4-11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184</w:t>
            </w: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DL/T 2658-2023</w:t>
            </w:r>
          </w:p>
        </w:tc>
        <w:tc>
          <w:tcPr>
            <w:tcW w:w="2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快速动态响应同步调相机技术规范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中国电力出版社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2023-10-11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2024-4-11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185</w:t>
            </w: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DL/T 2659-2023</w:t>
            </w:r>
          </w:p>
        </w:tc>
        <w:tc>
          <w:tcPr>
            <w:tcW w:w="2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电站高加三通阀选型导则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中国电力出版社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2023-10-11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2024-4-11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186</w:t>
            </w: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DL/T 2660-2023</w:t>
            </w:r>
          </w:p>
        </w:tc>
        <w:tc>
          <w:tcPr>
            <w:tcW w:w="2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煤粉锅炉燃烧调整试验技术导则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中国电力出版社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2023-10-11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2024-4-11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187</w:t>
            </w: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DL/T 2661-2023</w:t>
            </w:r>
          </w:p>
        </w:tc>
        <w:tc>
          <w:tcPr>
            <w:tcW w:w="2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循环流化床锅炉煤泥添加系统技术规范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中国电力出版社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2023-10-11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2024-4-11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188</w:t>
            </w: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DL/T 2662-2023</w:t>
            </w:r>
          </w:p>
        </w:tc>
        <w:tc>
          <w:tcPr>
            <w:tcW w:w="2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燃煤发电机组供热改造技术条件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中国电力出版社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2023-10-11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2024-4-11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189</w:t>
            </w: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DL/T 2663-2023</w:t>
            </w:r>
          </w:p>
        </w:tc>
        <w:tc>
          <w:tcPr>
            <w:tcW w:w="2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高压直流保护试验装置通用技术条件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中国电力出版社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2023-10-11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2024-4-11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190</w:t>
            </w: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DL/T 2664-2023</w:t>
            </w:r>
          </w:p>
        </w:tc>
        <w:tc>
          <w:tcPr>
            <w:tcW w:w="2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工业园区综合能源供能系统规划技术导则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中国电力出版社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2023-10-11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2024-4-11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191</w:t>
            </w: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DL/T 2665-2023</w:t>
            </w:r>
          </w:p>
        </w:tc>
        <w:tc>
          <w:tcPr>
            <w:tcW w:w="2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变电站厂界噪声排放测量方法  多重相干函数法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中国电力出版社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2023-10-11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2024-4-11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192</w:t>
            </w: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DL/T 2666-2023</w:t>
            </w:r>
          </w:p>
        </w:tc>
        <w:tc>
          <w:tcPr>
            <w:tcW w:w="2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变电站噪声仿真分析技术导则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中国电力出版社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2023-10-11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2024-4-11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193</w:t>
            </w: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DL/T 2667-2023</w:t>
            </w:r>
          </w:p>
        </w:tc>
        <w:tc>
          <w:tcPr>
            <w:tcW w:w="2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电力资产全寿命周期管理体系实施指南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中国电力出版社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2023-10-11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2024-4-11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194</w:t>
            </w: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DL/T 2668-2023</w:t>
            </w:r>
          </w:p>
        </w:tc>
        <w:tc>
          <w:tcPr>
            <w:tcW w:w="2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电力系统调峰能力评价技术规范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中国电力出版社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2023-10-11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2024-4-11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195</w:t>
            </w: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DL/T 2669-2023</w:t>
            </w:r>
          </w:p>
        </w:tc>
        <w:tc>
          <w:tcPr>
            <w:tcW w:w="2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电力系统惯量支撑和一次调频能力技术要求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中国电力出版社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2023-10-11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2024-4-11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196</w:t>
            </w: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DL/T 2670-2023</w:t>
            </w:r>
          </w:p>
        </w:tc>
        <w:tc>
          <w:tcPr>
            <w:tcW w:w="2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电力系统电压支撑强度计算规范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中国电力出版社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2023-10-11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2024-4-11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197</w:t>
            </w: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DL/T 2671-2023</w:t>
            </w:r>
          </w:p>
        </w:tc>
        <w:tc>
          <w:tcPr>
            <w:tcW w:w="2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电力系统仿真用电源聚合等值和建模导则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中国电力出版社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2023-10-11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2024-4-11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198</w:t>
            </w: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DL/T 2672-2023</w:t>
            </w:r>
          </w:p>
        </w:tc>
        <w:tc>
          <w:tcPr>
            <w:tcW w:w="2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电力系统仿真用负荷模型建模技术要求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中国电力出版社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2023-10-11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2024-4-11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199</w:t>
            </w: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DL/T 2673-2023</w:t>
            </w:r>
          </w:p>
        </w:tc>
        <w:tc>
          <w:tcPr>
            <w:tcW w:w="2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电力系统网源协调复核性试验导则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中国电力出版社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2023-10-11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2024-4-11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200</w:t>
            </w: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DL/T 2674-2023</w:t>
            </w:r>
          </w:p>
        </w:tc>
        <w:tc>
          <w:tcPr>
            <w:tcW w:w="2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新能源高占比电力系统规划阶段电网方式选取技术规范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中国电力出版社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2023-10-11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2024-4-11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201</w:t>
            </w: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DL/T 2675-2023</w:t>
            </w:r>
          </w:p>
        </w:tc>
        <w:tc>
          <w:tcPr>
            <w:tcW w:w="2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高压直流系统调度运行规程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中国电力出版社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2023-10-11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2024-4-11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202</w:t>
            </w: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DL/T 2676-2023</w:t>
            </w:r>
          </w:p>
        </w:tc>
        <w:tc>
          <w:tcPr>
            <w:tcW w:w="2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水电调度运行指标计算方法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中国电力出版社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2023-10-11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2024-4-11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203</w:t>
            </w: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DL/T 2677-2023</w:t>
            </w:r>
          </w:p>
        </w:tc>
        <w:tc>
          <w:tcPr>
            <w:tcW w:w="2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电力用绝缘隔板技术规范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中国电力出版社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2023-10-11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2024-4-11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204</w:t>
            </w: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DL/T 2678-2023</w:t>
            </w:r>
          </w:p>
        </w:tc>
        <w:tc>
          <w:tcPr>
            <w:tcW w:w="2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架空输电线路防鸟挡板技术规范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中国电力出版社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2023-10-11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2024-4-11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205</w:t>
            </w: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DL/T 2679-2023</w:t>
            </w:r>
          </w:p>
        </w:tc>
        <w:tc>
          <w:tcPr>
            <w:tcW w:w="2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电力建设工程安全生产标准化实施规范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中国电力出版社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2023-10-11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2024-4-11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206</w:t>
            </w: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DL/T 2680-2023</w:t>
            </w:r>
          </w:p>
        </w:tc>
        <w:tc>
          <w:tcPr>
            <w:tcW w:w="2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电力建设施工企业安全生产标准化实施规范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中国电力出版社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2023-10-11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2024-4-11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207</w:t>
            </w: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DL/T 2681-2023</w:t>
            </w:r>
          </w:p>
        </w:tc>
        <w:tc>
          <w:tcPr>
            <w:tcW w:w="2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电力勘测设计企业安全生产标准化实施规范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中国电力出版社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2023-10-11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2024-4-11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208</w:t>
            </w: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DL/T 5022-2023</w:t>
            </w:r>
          </w:p>
        </w:tc>
        <w:tc>
          <w:tcPr>
            <w:tcW w:w="2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发电厂土建结构设计规程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DL 5022-2012</w:t>
            </w: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中国计划出版社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2023-10-11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2024-4-11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209</w:t>
            </w: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DL/T 5033-2023</w:t>
            </w:r>
          </w:p>
        </w:tc>
        <w:tc>
          <w:tcPr>
            <w:tcW w:w="2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交流架空输电线路对电信线路危险和干扰影响防护设计规程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DL/T 5033-2006</w:t>
            </w: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中国计划出版社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2023-10-11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2024-4-11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210</w:t>
            </w: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DL/T 5034-2023</w:t>
            </w:r>
          </w:p>
        </w:tc>
        <w:tc>
          <w:tcPr>
            <w:tcW w:w="2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电力工程水文地质勘测技术规程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DL/T 5034-2006</w:t>
            </w: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中国计划出版社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2023-10-11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2024-4-11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211</w:t>
            </w: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DL/T 5076-2023</w:t>
            </w:r>
          </w:p>
        </w:tc>
        <w:tc>
          <w:tcPr>
            <w:tcW w:w="2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220kV及以下架空送电线路勘测技术规程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DL/T 5076-2008</w:t>
            </w: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中国计划出版社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2023-10-11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2024-4-11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212</w:t>
            </w: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DL/T 5113.15-2023</w:t>
            </w:r>
          </w:p>
        </w:tc>
        <w:tc>
          <w:tcPr>
            <w:tcW w:w="2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水电水利基本建设工程单元工程质量等级评定标准 第15部分：安全监测工程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中国电力出版社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2023-10-11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2024-4-11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213</w:t>
            </w: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DL/T 5294-2023</w:t>
            </w:r>
          </w:p>
        </w:tc>
        <w:tc>
          <w:tcPr>
            <w:tcW w:w="2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火力发电建设工程机组调试技术规范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DL/T 5294-2013</w:t>
            </w: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中国电力出版社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2023-10-11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2024-4-11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214</w:t>
            </w: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DL/T 5430-2023</w:t>
            </w:r>
          </w:p>
        </w:tc>
        <w:tc>
          <w:tcPr>
            <w:tcW w:w="2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无人值班变电站远方监控中心设计规程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DL/T 5430-2009</w:t>
            </w: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中国计划出版社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2023-10-11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2024-4-11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215</w:t>
            </w: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DL/T 5461.17-2023</w:t>
            </w:r>
          </w:p>
        </w:tc>
        <w:tc>
          <w:tcPr>
            <w:tcW w:w="2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火力发电厂施工图设计文件内容深度规定 第17部分 噪声治理部分　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中国计划出版社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2023-10-11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2024-4-11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216</w:t>
            </w: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DL/T 5864-2023</w:t>
            </w:r>
          </w:p>
        </w:tc>
        <w:tc>
          <w:tcPr>
            <w:tcW w:w="2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柔性直流输电换流阀现场交接试验规程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中国电力出版社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2023-10-11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2024-4-11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217</w:t>
            </w: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DL/T 5865-2023</w:t>
            </w:r>
          </w:p>
        </w:tc>
        <w:tc>
          <w:tcPr>
            <w:tcW w:w="2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综合管廊电力舱技术导则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中国电力出版社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2023-10-11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2024-4-11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218</w:t>
            </w: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SY/T 0045-2023</w:t>
            </w:r>
          </w:p>
        </w:tc>
        <w:tc>
          <w:tcPr>
            <w:tcW w:w="2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原油电脱水设计规范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SY/T 0045-2008</w:t>
            </w: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石油工业出版社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2023-10-11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2024-4-11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219</w:t>
            </w: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SY/T 0083-2023</w:t>
            </w:r>
          </w:p>
        </w:tc>
        <w:tc>
          <w:tcPr>
            <w:tcW w:w="2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除油罐设计规范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SY/T 0083-2008</w:t>
            </w: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石油工业出版社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2023-10-11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2024-4-11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220</w:t>
            </w: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SY/T 0087.3-2023</w:t>
            </w:r>
          </w:p>
        </w:tc>
        <w:tc>
          <w:tcPr>
            <w:tcW w:w="2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钢质管道及储罐腐蚀评价标准 第3部分：钢质储罐腐蚀直接评价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SY/T 0087.3-2010</w:t>
            </w: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石油工业出版社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2023-10-11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2024-4-11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221</w:t>
            </w: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SY/T 0087.4-2023</w:t>
            </w:r>
          </w:p>
        </w:tc>
        <w:tc>
          <w:tcPr>
            <w:tcW w:w="2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钢质管道及储罐腐蚀评价标准 第4部分：埋地钢质管道直流干扰腐蚀评价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SY/T 0087.4-2016</w:t>
            </w: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石油工业出版社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2023-10-11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2024-4-11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222</w:t>
            </w: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SY/T 4078-2023</w:t>
            </w:r>
          </w:p>
        </w:tc>
        <w:tc>
          <w:tcPr>
            <w:tcW w:w="2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钢质管道内防腐补口技术规范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SY/T 4078-2014</w:t>
            </w:r>
            <w:r>
              <w:rPr>
                <w:rFonts w:hint="eastAsia" w:ascii="仿宋_GB2312" w:hAnsi="等线" w:eastAsia="仿宋_GB2312"/>
                <w:color w:val="000000"/>
              </w:rPr>
              <w:br w:type="textWrapping"/>
            </w:r>
            <w:r>
              <w:rPr>
                <w:rFonts w:hint="eastAsia" w:ascii="仿宋_GB2312" w:hAnsi="等线" w:eastAsia="仿宋_GB2312"/>
                <w:color w:val="000000"/>
              </w:rPr>
              <w:t>SY/T 0328-2004</w:t>
            </w: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石油工业出版社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2023-10-11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2024-4-11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223</w:t>
            </w: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SY/T 5037-2023</w:t>
            </w:r>
          </w:p>
        </w:tc>
        <w:tc>
          <w:tcPr>
            <w:tcW w:w="2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普通流体输送管道用埋弧焊钢管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SY/T 5037-2018</w:t>
            </w: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石油工业出版社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2023-10-11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2024-4-11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224</w:t>
            </w: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SY/T 5200-2023</w:t>
            </w:r>
          </w:p>
        </w:tc>
        <w:tc>
          <w:tcPr>
            <w:tcW w:w="2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钻柱转换接头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SY/T 5200-2012</w:t>
            </w: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石油工业出版社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2023-10-11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2024-4-11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225</w:t>
            </w: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SY/T 5250-2023</w:t>
            </w:r>
          </w:p>
        </w:tc>
        <w:tc>
          <w:tcPr>
            <w:tcW w:w="2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石油天然气钻采设备 油田用背罐车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SY/T 5250-2016</w:t>
            </w: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石油工业出版社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2023-10-11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2024-4-11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226</w:t>
            </w: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SY/T 5367-2023</w:t>
            </w:r>
          </w:p>
        </w:tc>
        <w:tc>
          <w:tcPr>
            <w:tcW w:w="2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石油可采储量估算方法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SY/T 5367-2010</w:t>
            </w: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石油工业出版社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2023-10-11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2024-4-11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227</w:t>
            </w: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SY/T 5552-2023</w:t>
            </w:r>
          </w:p>
        </w:tc>
        <w:tc>
          <w:tcPr>
            <w:tcW w:w="2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石油天然气钻采设备 地锚车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SY/T 5552-2016</w:t>
            </w: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石油工业出版社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2023-10-11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2024-4-11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228</w:t>
            </w: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SY/T 5842-2023</w:t>
            </w:r>
          </w:p>
        </w:tc>
        <w:tc>
          <w:tcPr>
            <w:tcW w:w="2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整装砂岩油田开发方案编制技术要求 开发地质油藏工程部分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SY/T 5842-2003</w:t>
            </w: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石油工业出版社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2023-10-11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2024-4-11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229</w:t>
            </w: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SY/T 6113-2023</w:t>
            </w:r>
          </w:p>
        </w:tc>
        <w:tc>
          <w:tcPr>
            <w:tcW w:w="2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石油天然气钻采设备 修井用动力卡盘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SY/T 6113-2016</w:t>
            </w: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石油工业出版社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2023-10-11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2024-4-11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230</w:t>
            </w: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SY/T 6219-2023</w:t>
            </w:r>
          </w:p>
        </w:tc>
        <w:tc>
          <w:tcPr>
            <w:tcW w:w="2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油田开发水平分级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SY/T 6219-1996</w:t>
            </w: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石油工业出版社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2023-10-11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2024-4-11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231</w:t>
            </w: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SY/T 6311-2023</w:t>
            </w:r>
          </w:p>
        </w:tc>
        <w:tc>
          <w:tcPr>
            <w:tcW w:w="2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注蒸汽采油高温高压三维比例物理模拟实验技术要求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SY/T 6311-2012</w:t>
            </w: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石油工业出版社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2023-10-11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2024-4-11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232</w:t>
            </w: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SY/T 6490-2023</w:t>
            </w:r>
          </w:p>
        </w:tc>
        <w:tc>
          <w:tcPr>
            <w:tcW w:w="2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岩样核磁共振参数实验室测量规范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SY/T 6490-2014</w:t>
            </w: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石油工业出版社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2023-10-11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2024-4-11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233</w:t>
            </w: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SY/T 6509-2023</w:t>
            </w:r>
          </w:p>
        </w:tc>
        <w:tc>
          <w:tcPr>
            <w:tcW w:w="2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方钻杆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SY/T 6509-2012</w:t>
            </w: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石油工业出版社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2023-10-11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2024-4-11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6" w:hRule="atLeast"/>
        </w:trPr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234</w:t>
            </w: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SY/T 6546-2023</w:t>
            </w:r>
          </w:p>
        </w:tc>
        <w:tc>
          <w:tcPr>
            <w:tcW w:w="2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复杂岩性地层测井数据处理解释规范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SY/T 6546-2011</w:t>
            </w: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石油工业出版社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2023-10-11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2024-4-11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2" w:hRule="atLeast"/>
        </w:trPr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235</w:t>
            </w: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SY/T 6712-2023</w:t>
            </w:r>
          </w:p>
        </w:tc>
        <w:tc>
          <w:tcPr>
            <w:tcW w:w="2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岩样电性参数实验室测量规范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SY/T 6712-2008</w:t>
            </w:r>
            <w:r>
              <w:rPr>
                <w:rFonts w:hint="eastAsia" w:ascii="仿宋_GB2312" w:hAnsi="等线" w:eastAsia="仿宋_GB2312"/>
                <w:color w:val="000000"/>
              </w:rPr>
              <w:br w:type="textWrapping"/>
            </w:r>
            <w:r>
              <w:rPr>
                <w:rFonts w:hint="eastAsia" w:ascii="仿宋_GB2312" w:hAnsi="等线" w:eastAsia="仿宋_GB2312"/>
                <w:color w:val="000000"/>
              </w:rPr>
              <w:t>SY/T 6528-2002</w:t>
            </w:r>
            <w:r>
              <w:rPr>
                <w:rFonts w:hint="eastAsia" w:ascii="仿宋_GB2312" w:hAnsi="等线" w:eastAsia="仿宋_GB2312"/>
                <w:color w:val="000000"/>
              </w:rPr>
              <w:br w:type="textWrapping"/>
            </w:r>
            <w:r>
              <w:rPr>
                <w:rFonts w:hint="eastAsia" w:ascii="仿宋_GB2312" w:hAnsi="等线" w:eastAsia="仿宋_GB2312"/>
                <w:color w:val="000000"/>
              </w:rPr>
              <w:t>SY/T 5385-2007</w:t>
            </w: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石油工业出版社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2023-10-11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2024-4-11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236</w:t>
            </w: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SY/T 6715-2023</w:t>
            </w:r>
          </w:p>
        </w:tc>
        <w:tc>
          <w:tcPr>
            <w:tcW w:w="2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钢管管接头焊接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SY/T 6715-2008</w:t>
            </w: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石油工业出版社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2023-10-11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2024-4-11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6" w:hRule="atLeast"/>
        </w:trPr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237</w:t>
            </w: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SY/T 6753-2023</w:t>
            </w:r>
          </w:p>
        </w:tc>
        <w:tc>
          <w:tcPr>
            <w:tcW w:w="2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油气井用导爆索和传爆管通用技术条件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SY/T 6753-2009</w:t>
            </w:r>
            <w:r>
              <w:rPr>
                <w:rFonts w:hint="eastAsia" w:ascii="仿宋_GB2312" w:hAnsi="等线" w:eastAsia="仿宋_GB2312"/>
                <w:color w:val="000000"/>
              </w:rPr>
              <w:br w:type="textWrapping"/>
            </w:r>
            <w:r>
              <w:rPr>
                <w:rFonts w:hint="eastAsia" w:ascii="仿宋_GB2312" w:hAnsi="等线" w:eastAsia="仿宋_GB2312"/>
                <w:color w:val="000000"/>
              </w:rPr>
              <w:t>SY/T 6411-2014</w:t>
            </w: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石油工业出版社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2023-10-11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2024-4-11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238</w:t>
            </w: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SY/T 6769.1-2023</w:t>
            </w:r>
          </w:p>
        </w:tc>
        <w:tc>
          <w:tcPr>
            <w:tcW w:w="2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非金属管道设计、施工及验收规范 第1部分：高压玻璃纤维管线管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SY/T 6769.1-2010</w:t>
            </w: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石油工业出版社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2023-10-11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2024-4-11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239</w:t>
            </w: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SY/T 6770.1-2023</w:t>
            </w:r>
          </w:p>
        </w:tc>
        <w:tc>
          <w:tcPr>
            <w:tcW w:w="2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非金属管材质量验收规范 第1部分:高压玻璃纤维管线管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SY/T 6770.1-2010</w:t>
            </w: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石油工业出版社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2023-10-11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2024-4-11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240</w:t>
            </w: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SY/T 6784-2023</w:t>
            </w:r>
          </w:p>
        </w:tc>
        <w:tc>
          <w:tcPr>
            <w:tcW w:w="2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钢质储罐腐蚀控制技术规范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SY/T 6784-2010</w:t>
            </w: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石油工业出版社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2023-10-11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2024-4-11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241</w:t>
            </w: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SY/T 6786-2023</w:t>
            </w:r>
          </w:p>
        </w:tc>
        <w:tc>
          <w:tcPr>
            <w:tcW w:w="2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电法测井仪刻度规范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SY/T 6786-2010</w:t>
            </w:r>
            <w:r>
              <w:rPr>
                <w:rFonts w:hint="eastAsia" w:ascii="仿宋_GB2312" w:hAnsi="等线" w:eastAsia="仿宋_GB2312"/>
                <w:color w:val="000000"/>
              </w:rPr>
              <w:br w:type="textWrapping"/>
            </w:r>
            <w:r>
              <w:rPr>
                <w:rFonts w:hint="eastAsia" w:ascii="仿宋_GB2312" w:hAnsi="等线" w:eastAsia="仿宋_GB2312"/>
                <w:color w:val="000000"/>
              </w:rPr>
              <w:t>SY/T 6594.1-2004</w:t>
            </w:r>
            <w:r>
              <w:rPr>
                <w:rFonts w:hint="eastAsia" w:ascii="仿宋_GB2312" w:hAnsi="等线" w:eastAsia="仿宋_GB2312"/>
                <w:color w:val="000000"/>
              </w:rPr>
              <w:br w:type="textWrapping"/>
            </w:r>
            <w:r>
              <w:rPr>
                <w:rFonts w:hint="eastAsia" w:ascii="仿宋_GB2312" w:hAnsi="等线" w:eastAsia="仿宋_GB2312"/>
                <w:color w:val="000000"/>
              </w:rPr>
              <w:t>SY/T 6588-2012</w:t>
            </w:r>
            <w:r>
              <w:rPr>
                <w:rFonts w:hint="eastAsia" w:ascii="仿宋_GB2312" w:hAnsi="等线" w:eastAsia="仿宋_GB2312"/>
                <w:color w:val="000000"/>
              </w:rPr>
              <w:br w:type="textWrapping"/>
            </w:r>
            <w:r>
              <w:rPr>
                <w:rFonts w:hint="eastAsia" w:ascii="仿宋_GB2312" w:hAnsi="等线" w:eastAsia="仿宋_GB2312"/>
                <w:color w:val="000000"/>
              </w:rPr>
              <w:t>SY/T 6532-2002</w:t>
            </w:r>
            <w:r>
              <w:rPr>
                <w:rFonts w:hint="eastAsia" w:ascii="仿宋_GB2312" w:hAnsi="等线" w:eastAsia="仿宋_GB2312"/>
                <w:color w:val="000000"/>
              </w:rPr>
              <w:br w:type="textWrapping"/>
            </w:r>
            <w:r>
              <w:rPr>
                <w:rFonts w:hint="eastAsia" w:ascii="仿宋_GB2312" w:hAnsi="等线" w:eastAsia="仿宋_GB2312"/>
                <w:color w:val="000000"/>
              </w:rPr>
              <w:t>SY/T 6252-2012</w:t>
            </w: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石油工业出版社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2023-10-11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2024-4-11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242</w:t>
            </w: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SY/T 6801-2023</w:t>
            </w:r>
          </w:p>
        </w:tc>
        <w:tc>
          <w:tcPr>
            <w:tcW w:w="2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石油天然气钻采设备 液压盘式刹车安装、使用与维护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SY/T 6801-2010</w:t>
            </w: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石油工业出版社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2023-10-11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2024-4-11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243</w:t>
            </w: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SY/T 6868-2023</w:t>
            </w:r>
          </w:p>
        </w:tc>
        <w:tc>
          <w:tcPr>
            <w:tcW w:w="2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石油天然气钻采设备 井控系统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_GB2312" w:hAnsi="等线" w:eastAsia="仿宋_GB2312"/>
                <w:color w:val="000000"/>
                <w:lang w:val="en-US" w:eastAsia="zh-CN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SY/T 6868-20</w:t>
            </w: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16</w:t>
            </w: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石油工业出版社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2023-10-11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2024-4-11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244</w:t>
            </w: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SY/T 6937-2023</w:t>
            </w:r>
          </w:p>
        </w:tc>
        <w:tc>
          <w:tcPr>
            <w:tcW w:w="2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阵列声波测井资料处理与解释规范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SY/T 6937-2013</w:t>
            </w: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石油工业出版社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2023-10-11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2024-4-11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245</w:t>
            </w: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SY/T 6948-2023</w:t>
            </w:r>
          </w:p>
        </w:tc>
        <w:tc>
          <w:tcPr>
            <w:tcW w:w="2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石油钻具耐磨带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SY/T 6948-2013</w:t>
            </w: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石油工业出版社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2023-10-11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2024-4-11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246</w:t>
            </w: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SY/T 6991-2023</w:t>
            </w:r>
          </w:p>
        </w:tc>
        <w:tc>
          <w:tcPr>
            <w:tcW w:w="2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注入和产出剖面测井资料处理与解释规范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SY/T 6991—2014</w:t>
            </w:r>
            <w:r>
              <w:rPr>
                <w:rFonts w:hint="eastAsia" w:ascii="仿宋_GB2312" w:hAnsi="等线" w:eastAsia="仿宋_GB2312"/>
                <w:color w:val="000000"/>
              </w:rPr>
              <w:br w:type="textWrapping"/>
            </w:r>
            <w:r>
              <w:rPr>
                <w:rFonts w:hint="eastAsia" w:ascii="仿宋_GB2312" w:hAnsi="等线" w:eastAsia="仿宋_GB2312"/>
                <w:color w:val="000000"/>
              </w:rPr>
              <w:t>SY/T 5783.2-2016</w:t>
            </w:r>
            <w:r>
              <w:rPr>
                <w:rFonts w:hint="eastAsia" w:ascii="仿宋_GB2312" w:hAnsi="等线" w:eastAsia="仿宋_GB2312"/>
                <w:color w:val="000000"/>
              </w:rPr>
              <w:br w:type="textWrapping"/>
            </w:r>
            <w:r>
              <w:rPr>
                <w:rFonts w:hint="eastAsia" w:ascii="仿宋_GB2312" w:hAnsi="等线" w:eastAsia="仿宋_GB2312"/>
                <w:color w:val="000000"/>
              </w:rPr>
              <w:t>SY/T 5783.1-2012</w:t>
            </w: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石油工业出版社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2023-10-11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2024-4-11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247</w:t>
            </w: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SY/T 7024-2023</w:t>
            </w:r>
          </w:p>
        </w:tc>
        <w:tc>
          <w:tcPr>
            <w:tcW w:w="2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含硫化氢油气田金属材料现场硬度检测技术规范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SY/T 7024-2014</w:t>
            </w: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石油工业出版社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2023-10-11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2024-4-11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248</w:t>
            </w: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SY/T 7039-2023</w:t>
            </w:r>
          </w:p>
        </w:tc>
        <w:tc>
          <w:tcPr>
            <w:tcW w:w="2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油气厂站钢管架结构设计规范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SY/T 7039-2016</w:t>
            </w: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石油工业出版社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2023-10-11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2024-4-11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249</w:t>
            </w: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SY/T 7318.6-2023</w:t>
            </w:r>
          </w:p>
        </w:tc>
        <w:tc>
          <w:tcPr>
            <w:tcW w:w="2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油气输送管特殊性能试验方法 第6部分：全尺寸拉伸试验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石油工业出版社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2023-10-11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2024-4-11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250</w:t>
            </w: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SY/T 7333-2023</w:t>
            </w:r>
          </w:p>
        </w:tc>
        <w:tc>
          <w:tcPr>
            <w:tcW w:w="2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石油天然气钻采设备 固井设备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SY/T 7333-2016</w:t>
            </w: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石油工业出版社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2023-10-11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2024-4-11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251</w:t>
            </w: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SY/T 7368-2023</w:t>
            </w:r>
          </w:p>
        </w:tc>
        <w:tc>
          <w:tcPr>
            <w:tcW w:w="2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穿越管道防腐层技术规范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SY/T 7368-2017</w:t>
            </w: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石油工业出版社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2023-10-11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2024-4-11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252</w:t>
            </w: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SY/T 7696-2023</w:t>
            </w:r>
          </w:p>
        </w:tc>
        <w:tc>
          <w:tcPr>
            <w:tcW w:w="2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石油工业北斗综合监管技术应用规范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石油工业出版社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2023-10-11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2024-4-11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253</w:t>
            </w: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SY/T 7697-2023</w:t>
            </w:r>
          </w:p>
        </w:tc>
        <w:tc>
          <w:tcPr>
            <w:tcW w:w="2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石油化工行业视频监控管理平台接口技术规范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石油工业出版社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2023-10-11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2024-4-11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254</w:t>
            </w: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SY/T 7698-2023</w:t>
            </w:r>
          </w:p>
        </w:tc>
        <w:tc>
          <w:tcPr>
            <w:tcW w:w="2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油气输送管道工程直接铺管穿越设计规范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石油工业出版社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2023-10-11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2024-4-11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255</w:t>
            </w: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SY/T 7699-2023</w:t>
            </w:r>
          </w:p>
        </w:tc>
        <w:tc>
          <w:tcPr>
            <w:tcW w:w="2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海上钢质构筑物外加电流阴极保护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石油工业出版社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2023-10-11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2024-4-11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256</w:t>
            </w: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SY/T 7700-2023</w:t>
            </w:r>
          </w:p>
        </w:tc>
        <w:tc>
          <w:tcPr>
            <w:tcW w:w="2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油气田及管道工程仪表控制系统设计规范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石油工业出版社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2023-10-11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2024-4-11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257</w:t>
            </w: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SY/T 7701-2023</w:t>
            </w:r>
          </w:p>
        </w:tc>
        <w:tc>
          <w:tcPr>
            <w:tcW w:w="2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石油天然气钻采设备 减氧空气系统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石油工业出版社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2023-10-11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2024-4-11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258</w:t>
            </w: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SY/T 7702-2023</w:t>
            </w:r>
          </w:p>
        </w:tc>
        <w:tc>
          <w:tcPr>
            <w:tcW w:w="2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石油天然气钻采设备 钻机和修井机管柱自动化设备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石油工业出版社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2023-10-11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2024-4-11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259</w:t>
            </w: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SY/T 7703-2023</w:t>
            </w:r>
          </w:p>
        </w:tc>
        <w:tc>
          <w:tcPr>
            <w:tcW w:w="2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石油天然气钻采设备 垂直钻井系统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石油工业出版社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2023-10-11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2024-4-11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260</w:t>
            </w: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SY/T 7704-2023</w:t>
            </w:r>
          </w:p>
        </w:tc>
        <w:tc>
          <w:tcPr>
            <w:tcW w:w="2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fldChar w:fldCharType="begin"/>
            </w:r>
            <w:r>
              <w:instrText xml:space="preserve"> HYPERLINK "http://114.251.111.103:18080/zxd/m/hstdProject-detail?params=64517" </w:instrText>
            </w:r>
            <w:r>
              <w:fldChar w:fldCharType="separate"/>
            </w:r>
            <w:r>
              <w:rPr>
                <w:rFonts w:hint="eastAsia" w:ascii="仿宋_GB2312" w:hAnsi="等线" w:eastAsia="仿宋_GB2312"/>
                <w:color w:val="000000"/>
              </w:rPr>
              <w:t>天然气 发热量的测定 可见光光谱-超声波关联法</w:t>
            </w:r>
            <w:r>
              <w:rPr>
                <w:rFonts w:hint="eastAsia" w:ascii="仿宋_GB2312" w:hAnsi="等线" w:eastAsia="仿宋_GB2312"/>
                <w:color w:val="000000"/>
              </w:rPr>
              <w:fldChar w:fldCharType="end"/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石油工业出版社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2023-10-11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2024-4-11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261</w:t>
            </w: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SY/T 10011-2023</w:t>
            </w:r>
          </w:p>
        </w:tc>
        <w:tc>
          <w:tcPr>
            <w:tcW w:w="2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油田开发方案编制指南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SY/T 10011-2006</w:t>
            </w: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　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石油工业出版社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2023-10-11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lang w:val="en-US" w:eastAsia="zh-CN"/>
              </w:rPr>
              <w:t>2024-4-11</w:t>
            </w:r>
          </w:p>
        </w:tc>
      </w:tr>
    </w:tbl>
    <w:p>
      <w:pPr>
        <w:jc w:val="center"/>
        <w:rPr>
          <w:rFonts w:ascii="仿宋_GB2312" w:hAnsi="等线" w:eastAsia="仿宋_GB2312"/>
          <w:color w:val="000000"/>
        </w:rPr>
      </w:pPr>
    </w:p>
    <w:sectPr>
      <w:footerReference r:id="rId3" w:type="default"/>
      <w:pgSz w:w="16838" w:h="11906" w:orient="landscape"/>
      <w:pgMar w:top="1797" w:right="1440" w:bottom="1797" w:left="1440" w:header="851" w:footer="992" w:gutter="0"/>
      <w:pgNumType w:start="2"/>
      <w:cols w:space="425" w:num="1"/>
      <w:docGrid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Fonts w:ascii="Calibri" w:hAnsi="Calibri" w:cs="Times New Roman"/>
        <w:kern w:val="2"/>
        <w:sz w:val="18"/>
        <w:szCs w:val="18"/>
      </w:rPr>
      <w:id w:val="9955891"/>
    </w:sdtPr>
    <w:sdtEndPr>
      <w:rPr>
        <w:rFonts w:ascii="Calibri" w:hAnsi="Calibri" w:cs="Times New Roman"/>
        <w:kern w:val="2"/>
        <w:sz w:val="18"/>
        <w:szCs w:val="18"/>
      </w:rPr>
    </w:sdtEndPr>
    <w:sdtContent>
      <w:p>
        <w:pPr>
          <w:widowControl w:val="0"/>
          <w:tabs>
            <w:tab w:val="center" w:pos="4153"/>
            <w:tab w:val="right" w:pos="8306"/>
          </w:tabs>
          <w:snapToGrid w:val="0"/>
          <w:jc w:val="center"/>
          <w:rPr>
            <w:rFonts w:ascii="Calibri" w:hAnsi="Calibri" w:cs="Times New Roman"/>
            <w:kern w:val="2"/>
            <w:sz w:val="18"/>
            <w:szCs w:val="18"/>
          </w:rPr>
        </w:pPr>
        <w:r>
          <w:rPr>
            <w:rFonts w:hint="eastAsia"/>
            <w:sz w:val="28"/>
            <w:szCs w:val="28"/>
            <w:lang w:val="zh-CN"/>
          </w:rPr>
          <w:t>—</w:t>
        </w:r>
        <w:r>
          <w:rPr>
            <w:sz w:val="28"/>
            <w:szCs w:val="28"/>
          </w:rPr>
          <w:t xml:space="preserve"> </w:t>
        </w:r>
        <w:r>
          <w:rPr>
            <w:rFonts w:cs="Times New Roman"/>
            <w:kern w:val="2"/>
            <w:sz w:val="28"/>
            <w:szCs w:val="28"/>
          </w:rPr>
          <w:fldChar w:fldCharType="begin"/>
        </w:r>
        <w:r>
          <w:rPr>
            <w:rFonts w:cs="Times New Roman"/>
            <w:kern w:val="2"/>
            <w:sz w:val="28"/>
            <w:szCs w:val="28"/>
          </w:rPr>
          <w:instrText xml:space="preserve"> PAGE   \* MERGEFORMAT </w:instrText>
        </w:r>
        <w:r>
          <w:rPr>
            <w:rFonts w:cs="Times New Roman"/>
            <w:kern w:val="2"/>
            <w:sz w:val="28"/>
            <w:szCs w:val="28"/>
          </w:rPr>
          <w:fldChar w:fldCharType="separate"/>
        </w:r>
        <w:r>
          <w:rPr>
            <w:rFonts w:cs="Times New Roman"/>
            <w:kern w:val="2"/>
            <w:sz w:val="28"/>
            <w:szCs w:val="28"/>
            <w:lang w:val="zh-CN"/>
          </w:rPr>
          <w:t>35</w:t>
        </w:r>
        <w:r>
          <w:rPr>
            <w:rFonts w:cs="Times New Roman"/>
            <w:kern w:val="2"/>
            <w:sz w:val="28"/>
            <w:szCs w:val="28"/>
            <w:lang w:val="zh-CN"/>
          </w:rPr>
          <w:fldChar w:fldCharType="end"/>
        </w:r>
        <w:r>
          <w:rPr>
            <w:sz w:val="28"/>
            <w:szCs w:val="28"/>
          </w:rPr>
          <w:t xml:space="preserve"> </w:t>
        </w:r>
        <w:r>
          <w:rPr>
            <w:rFonts w:hint="eastAsia"/>
            <w:sz w:val="28"/>
            <w:szCs w:val="28"/>
          </w:rPr>
          <w:t>—</w:t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noPunctuationKerning w:val="1"/>
  <w:characterSpacingControl w:val="doNotCompress"/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7358"/>
    <w:rsid w:val="00006139"/>
    <w:rsid w:val="0002425A"/>
    <w:rsid w:val="000366A8"/>
    <w:rsid w:val="0006550D"/>
    <w:rsid w:val="000A66D7"/>
    <w:rsid w:val="000B7C19"/>
    <w:rsid w:val="001113E7"/>
    <w:rsid w:val="0012278C"/>
    <w:rsid w:val="00122CC2"/>
    <w:rsid w:val="00191883"/>
    <w:rsid w:val="00192BA6"/>
    <w:rsid w:val="001E4459"/>
    <w:rsid w:val="001F1FB8"/>
    <w:rsid w:val="00226AC4"/>
    <w:rsid w:val="00233E1C"/>
    <w:rsid w:val="00241096"/>
    <w:rsid w:val="00242E10"/>
    <w:rsid w:val="00271E2B"/>
    <w:rsid w:val="002A014A"/>
    <w:rsid w:val="002A68A6"/>
    <w:rsid w:val="002B3021"/>
    <w:rsid w:val="002B6635"/>
    <w:rsid w:val="002C53E2"/>
    <w:rsid w:val="002C74F1"/>
    <w:rsid w:val="002D7FD1"/>
    <w:rsid w:val="002F39F4"/>
    <w:rsid w:val="003214FA"/>
    <w:rsid w:val="003343B1"/>
    <w:rsid w:val="00334892"/>
    <w:rsid w:val="003461FA"/>
    <w:rsid w:val="00351A02"/>
    <w:rsid w:val="003623FC"/>
    <w:rsid w:val="00376FB0"/>
    <w:rsid w:val="003B1EFC"/>
    <w:rsid w:val="003B338E"/>
    <w:rsid w:val="003B7333"/>
    <w:rsid w:val="003B7F04"/>
    <w:rsid w:val="003E72E9"/>
    <w:rsid w:val="004247F4"/>
    <w:rsid w:val="004305BD"/>
    <w:rsid w:val="00451421"/>
    <w:rsid w:val="004833DC"/>
    <w:rsid w:val="00494E8F"/>
    <w:rsid w:val="004B77B3"/>
    <w:rsid w:val="004C33BC"/>
    <w:rsid w:val="004F6495"/>
    <w:rsid w:val="004F751E"/>
    <w:rsid w:val="00501173"/>
    <w:rsid w:val="00537FBE"/>
    <w:rsid w:val="00592A2F"/>
    <w:rsid w:val="005A1871"/>
    <w:rsid w:val="005A6919"/>
    <w:rsid w:val="005B1400"/>
    <w:rsid w:val="005D3744"/>
    <w:rsid w:val="005D3FA8"/>
    <w:rsid w:val="005E0578"/>
    <w:rsid w:val="00614B56"/>
    <w:rsid w:val="00654E0B"/>
    <w:rsid w:val="00657194"/>
    <w:rsid w:val="00663966"/>
    <w:rsid w:val="00674945"/>
    <w:rsid w:val="006C7598"/>
    <w:rsid w:val="006E5EEE"/>
    <w:rsid w:val="00712E31"/>
    <w:rsid w:val="00747759"/>
    <w:rsid w:val="0075297F"/>
    <w:rsid w:val="0078025C"/>
    <w:rsid w:val="0078028E"/>
    <w:rsid w:val="00780D7C"/>
    <w:rsid w:val="007C1E12"/>
    <w:rsid w:val="007C59CF"/>
    <w:rsid w:val="007F4023"/>
    <w:rsid w:val="008113E2"/>
    <w:rsid w:val="00822ADE"/>
    <w:rsid w:val="00826DBD"/>
    <w:rsid w:val="008876AD"/>
    <w:rsid w:val="008928E1"/>
    <w:rsid w:val="008A45C2"/>
    <w:rsid w:val="008B3F0F"/>
    <w:rsid w:val="008C3FC8"/>
    <w:rsid w:val="008D1FCD"/>
    <w:rsid w:val="008E472E"/>
    <w:rsid w:val="008F398F"/>
    <w:rsid w:val="0091299D"/>
    <w:rsid w:val="00980EBA"/>
    <w:rsid w:val="009D7358"/>
    <w:rsid w:val="00A07A7E"/>
    <w:rsid w:val="00A26955"/>
    <w:rsid w:val="00A91675"/>
    <w:rsid w:val="00AA7298"/>
    <w:rsid w:val="00AA7348"/>
    <w:rsid w:val="00AB01C5"/>
    <w:rsid w:val="00AD2446"/>
    <w:rsid w:val="00AD3F2F"/>
    <w:rsid w:val="00B238EE"/>
    <w:rsid w:val="00B3619A"/>
    <w:rsid w:val="00B37292"/>
    <w:rsid w:val="00B770F3"/>
    <w:rsid w:val="00B86F25"/>
    <w:rsid w:val="00BD1DB0"/>
    <w:rsid w:val="00BE6352"/>
    <w:rsid w:val="00C00C44"/>
    <w:rsid w:val="00C1246A"/>
    <w:rsid w:val="00C21A98"/>
    <w:rsid w:val="00C24849"/>
    <w:rsid w:val="00C625E6"/>
    <w:rsid w:val="00C700D7"/>
    <w:rsid w:val="00C92D11"/>
    <w:rsid w:val="00CA0CE4"/>
    <w:rsid w:val="00CB01DD"/>
    <w:rsid w:val="00CC1CF7"/>
    <w:rsid w:val="00D00383"/>
    <w:rsid w:val="00D03D27"/>
    <w:rsid w:val="00D0530F"/>
    <w:rsid w:val="00D26F45"/>
    <w:rsid w:val="00D43ADC"/>
    <w:rsid w:val="00D82853"/>
    <w:rsid w:val="00D87334"/>
    <w:rsid w:val="00DB4219"/>
    <w:rsid w:val="00E34DB3"/>
    <w:rsid w:val="00E67573"/>
    <w:rsid w:val="00E81E63"/>
    <w:rsid w:val="00E946C7"/>
    <w:rsid w:val="00E95BB1"/>
    <w:rsid w:val="00E97213"/>
    <w:rsid w:val="00ED1D97"/>
    <w:rsid w:val="00EF2911"/>
    <w:rsid w:val="00F15D75"/>
    <w:rsid w:val="00F32829"/>
    <w:rsid w:val="00F57C1E"/>
    <w:rsid w:val="00FA6628"/>
    <w:rsid w:val="00FC6377"/>
    <w:rsid w:val="00FE5334"/>
    <w:rsid w:val="00FF3D5D"/>
    <w:rsid w:val="0A0C412B"/>
    <w:rsid w:val="118D6AC8"/>
    <w:rsid w:val="26377226"/>
    <w:rsid w:val="3DE24528"/>
    <w:rsid w:val="410E5BEE"/>
    <w:rsid w:val="57E75816"/>
    <w:rsid w:val="5C6D0779"/>
    <w:rsid w:val="5DBF8A41"/>
    <w:rsid w:val="66202AFB"/>
    <w:rsid w:val="6644575A"/>
    <w:rsid w:val="6BEDAB86"/>
    <w:rsid w:val="6DF3649F"/>
    <w:rsid w:val="6ECEA2EF"/>
    <w:rsid w:val="75F760DC"/>
    <w:rsid w:val="7D0B2EE1"/>
    <w:rsid w:val="AA8718B6"/>
    <w:rsid w:val="ABBFF4BA"/>
    <w:rsid w:val="AFF401D4"/>
    <w:rsid w:val="BBEB87CB"/>
    <w:rsid w:val="BFEF97B9"/>
    <w:rsid w:val="DB7D05A9"/>
    <w:rsid w:val="ED3D67B0"/>
    <w:rsid w:val="FD6FC78E"/>
    <w:rsid w:val="FDFBE7BA"/>
    <w:rsid w:val="FFDEE775"/>
    <w:rsid w:val="FFF74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宋体" w:hAnsi="宋体" w:eastAsia="宋体" w:cs="宋体"/>
      <w:sz w:val="24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7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73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4">
    <w:name w:val="header"/>
    <w:basedOn w:val="1"/>
    <w:link w:val="7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basedOn w:val="6"/>
    <w:unhideWhenUsed/>
    <w:qFormat/>
    <w:uiPriority w:val="99"/>
    <w:rPr>
      <w:color w:val="0000FF"/>
      <w:u w:val="single"/>
    </w:rPr>
  </w:style>
  <w:style w:type="paragraph" w:customStyle="1" w:styleId="8">
    <w:name w:val="msonormal"/>
    <w:basedOn w:val="1"/>
    <w:qFormat/>
    <w:uiPriority w:val="0"/>
    <w:pPr>
      <w:spacing w:before="100" w:beforeAutospacing="1" w:after="100" w:afterAutospacing="1"/>
    </w:pPr>
  </w:style>
  <w:style w:type="paragraph" w:customStyle="1" w:styleId="9">
    <w:name w:val="font513771"/>
    <w:basedOn w:val="1"/>
    <w:qFormat/>
    <w:uiPriority w:val="0"/>
    <w:pPr>
      <w:spacing w:before="100" w:beforeAutospacing="1" w:after="100" w:afterAutospacing="1"/>
    </w:pPr>
    <w:rPr>
      <w:rFonts w:ascii="等线" w:hAnsi="等线" w:eastAsia="等线"/>
      <w:sz w:val="18"/>
      <w:szCs w:val="18"/>
    </w:rPr>
  </w:style>
  <w:style w:type="paragraph" w:customStyle="1" w:styleId="10">
    <w:name w:val="font613771"/>
    <w:basedOn w:val="1"/>
    <w:qFormat/>
    <w:uiPriority w:val="0"/>
    <w:pPr>
      <w:spacing w:before="100" w:beforeAutospacing="1" w:after="100" w:afterAutospacing="1"/>
    </w:pPr>
    <w:rPr>
      <w:sz w:val="18"/>
      <w:szCs w:val="18"/>
    </w:rPr>
  </w:style>
  <w:style w:type="paragraph" w:customStyle="1" w:styleId="11">
    <w:name w:val="font713771"/>
    <w:basedOn w:val="1"/>
    <w:qFormat/>
    <w:uiPriority w:val="0"/>
    <w:pPr>
      <w:spacing w:before="100" w:beforeAutospacing="1" w:after="100" w:afterAutospacing="1"/>
    </w:pPr>
    <w:rPr>
      <w:rFonts w:ascii="等线" w:hAnsi="等线" w:eastAsia="等线"/>
    </w:rPr>
  </w:style>
  <w:style w:type="paragraph" w:customStyle="1" w:styleId="12">
    <w:name w:val="font813771"/>
    <w:basedOn w:val="1"/>
    <w:qFormat/>
    <w:uiPriority w:val="0"/>
    <w:pPr>
      <w:spacing w:before="100" w:beforeAutospacing="1" w:after="100" w:afterAutospacing="1"/>
    </w:pPr>
    <w:rPr>
      <w:rFonts w:ascii="等线" w:hAnsi="等线" w:eastAsia="等线"/>
      <w:color w:val="000000"/>
    </w:rPr>
  </w:style>
  <w:style w:type="paragraph" w:customStyle="1" w:styleId="13">
    <w:name w:val="font913771"/>
    <w:basedOn w:val="1"/>
    <w:qFormat/>
    <w:uiPriority w:val="0"/>
    <w:pPr>
      <w:spacing w:before="100" w:beforeAutospacing="1" w:after="100" w:afterAutospacing="1"/>
    </w:pPr>
    <w:rPr>
      <w:rFonts w:ascii="等线" w:hAnsi="等线" w:eastAsia="等线"/>
      <w:color w:val="000000"/>
    </w:rPr>
  </w:style>
  <w:style w:type="paragraph" w:customStyle="1" w:styleId="14">
    <w:name w:val="xl6413771"/>
    <w:basedOn w:val="1"/>
    <w:qFormat/>
    <w:uiPriority w:val="0"/>
    <w:pPr>
      <w:pBdr>
        <w:top w:val="single" w:color="auto" w:sz="4" w:space="1"/>
        <w:left w:val="single" w:color="auto" w:sz="4" w:space="1"/>
        <w:bottom w:val="single" w:color="auto" w:sz="4" w:space="0"/>
        <w:right w:val="single" w:color="auto" w:sz="4" w:space="1"/>
      </w:pBdr>
      <w:spacing w:before="100" w:beforeAutospacing="1" w:after="100" w:afterAutospacing="1"/>
      <w:jc w:val="center"/>
      <w:textAlignment w:val="center"/>
    </w:pPr>
    <w:rPr>
      <w:rFonts w:ascii="等线" w:hAnsi="等线" w:eastAsia="等线"/>
      <w:color w:val="000000"/>
    </w:rPr>
  </w:style>
  <w:style w:type="paragraph" w:customStyle="1" w:styleId="15">
    <w:name w:val="xl6513771"/>
    <w:basedOn w:val="1"/>
    <w:qFormat/>
    <w:uiPriority w:val="0"/>
    <w:pPr>
      <w:spacing w:before="100" w:beforeAutospacing="1" w:after="100" w:afterAutospacing="1"/>
      <w:textAlignment w:val="center"/>
    </w:pPr>
    <w:rPr>
      <w:rFonts w:ascii="等线" w:hAnsi="等线" w:eastAsia="等线"/>
      <w:color w:val="000000"/>
    </w:rPr>
  </w:style>
  <w:style w:type="paragraph" w:customStyle="1" w:styleId="16">
    <w:name w:val="xl6613771"/>
    <w:basedOn w:val="1"/>
    <w:qFormat/>
    <w:uiPriority w:val="0"/>
    <w:pPr>
      <w:spacing w:before="100" w:beforeAutospacing="1" w:after="100" w:afterAutospacing="1"/>
      <w:jc w:val="center"/>
      <w:textAlignment w:val="center"/>
    </w:pPr>
    <w:rPr>
      <w:rFonts w:ascii="等线" w:hAnsi="等线" w:eastAsia="等线"/>
      <w:color w:val="000000"/>
    </w:rPr>
  </w:style>
  <w:style w:type="paragraph" w:customStyle="1" w:styleId="17">
    <w:name w:val="xl6713771"/>
    <w:basedOn w:val="1"/>
    <w:qFormat/>
    <w:uiPriority w:val="0"/>
    <w:pPr>
      <w:pBdr>
        <w:top w:val="single" w:color="auto" w:sz="4" w:space="1"/>
        <w:left w:val="single" w:color="auto" w:sz="4" w:space="1"/>
        <w:bottom w:val="single" w:color="auto" w:sz="4" w:space="0"/>
        <w:right w:val="single" w:color="auto" w:sz="4" w:space="1"/>
      </w:pBdr>
      <w:spacing w:before="100" w:beforeAutospacing="1" w:after="100" w:afterAutospacing="1"/>
      <w:jc w:val="center"/>
      <w:textAlignment w:val="center"/>
    </w:pPr>
    <w:rPr>
      <w:rFonts w:ascii="等线" w:hAnsi="等线" w:eastAsia="等线"/>
      <w:color w:val="000000"/>
    </w:rPr>
  </w:style>
  <w:style w:type="paragraph" w:customStyle="1" w:styleId="18">
    <w:name w:val="xl6813771"/>
    <w:basedOn w:val="1"/>
    <w:qFormat/>
    <w:uiPriority w:val="0"/>
    <w:pPr>
      <w:spacing w:before="100" w:beforeAutospacing="1" w:after="100" w:afterAutospacing="1"/>
      <w:textAlignment w:val="center"/>
    </w:pPr>
    <w:rPr>
      <w:rFonts w:ascii="等线" w:hAnsi="等线" w:eastAsia="等线"/>
      <w:color w:val="000000"/>
    </w:rPr>
  </w:style>
  <w:style w:type="paragraph" w:customStyle="1" w:styleId="19">
    <w:name w:val="xl6913771"/>
    <w:basedOn w:val="1"/>
    <w:qFormat/>
    <w:uiPriority w:val="0"/>
    <w:pPr>
      <w:pBdr>
        <w:top w:val="single" w:color="auto" w:sz="4" w:space="1"/>
        <w:left w:val="single" w:color="auto" w:sz="4" w:space="1"/>
        <w:bottom w:val="single" w:color="auto" w:sz="4" w:space="0"/>
        <w:right w:val="single" w:color="auto" w:sz="4" w:space="1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等线" w:hAnsi="等线" w:eastAsia="等线"/>
      <w:color w:val="000000"/>
    </w:rPr>
  </w:style>
  <w:style w:type="paragraph" w:customStyle="1" w:styleId="20">
    <w:name w:val="xl7013771"/>
    <w:basedOn w:val="1"/>
    <w:qFormat/>
    <w:uiPriority w:val="0"/>
    <w:pPr>
      <w:shd w:val="clear" w:color="000000" w:fill="FFFF00"/>
      <w:spacing w:before="100" w:beforeAutospacing="1" w:after="100" w:afterAutospacing="1"/>
      <w:jc w:val="center"/>
      <w:textAlignment w:val="center"/>
    </w:pPr>
    <w:rPr>
      <w:rFonts w:ascii="等线" w:hAnsi="等线" w:eastAsia="等线"/>
      <w:color w:val="000000"/>
    </w:rPr>
  </w:style>
  <w:style w:type="paragraph" w:customStyle="1" w:styleId="21">
    <w:name w:val="xl7113771"/>
    <w:basedOn w:val="1"/>
    <w:qFormat/>
    <w:uiPriority w:val="0"/>
    <w:pPr>
      <w:shd w:val="clear" w:color="000000" w:fill="FFFF00"/>
      <w:spacing w:before="100" w:beforeAutospacing="1" w:after="100" w:afterAutospacing="1"/>
      <w:textAlignment w:val="center"/>
    </w:pPr>
    <w:rPr>
      <w:rFonts w:ascii="等线" w:hAnsi="等线" w:eastAsia="等线"/>
      <w:color w:val="000000"/>
    </w:rPr>
  </w:style>
  <w:style w:type="paragraph" w:customStyle="1" w:styleId="22">
    <w:name w:val="xl7213771"/>
    <w:basedOn w:val="1"/>
    <w:qFormat/>
    <w:uiPriority w:val="0"/>
    <w:pPr>
      <w:pBdr>
        <w:top w:val="single" w:color="auto" w:sz="4" w:space="1"/>
        <w:left w:val="single" w:color="auto" w:sz="4" w:space="1"/>
        <w:bottom w:val="single" w:color="auto" w:sz="4" w:space="0"/>
        <w:right w:val="single" w:color="auto" w:sz="4" w:space="1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等线" w:hAnsi="等线" w:eastAsia="等线"/>
      <w:color w:val="000000"/>
    </w:rPr>
  </w:style>
  <w:style w:type="paragraph" w:customStyle="1" w:styleId="23">
    <w:name w:val="xl7313771"/>
    <w:basedOn w:val="1"/>
    <w:qFormat/>
    <w:uiPriority w:val="0"/>
    <w:pPr>
      <w:shd w:val="clear" w:color="000000" w:fill="FFC000"/>
      <w:spacing w:before="100" w:beforeAutospacing="1" w:after="100" w:afterAutospacing="1"/>
      <w:textAlignment w:val="center"/>
    </w:pPr>
    <w:rPr>
      <w:rFonts w:ascii="等线" w:hAnsi="等线" w:eastAsia="等线"/>
      <w:color w:val="000000"/>
    </w:rPr>
  </w:style>
  <w:style w:type="paragraph" w:customStyle="1" w:styleId="24">
    <w:name w:val="xl7413771"/>
    <w:basedOn w:val="1"/>
    <w:qFormat/>
    <w:uiPriority w:val="0"/>
    <w:pPr>
      <w:pBdr>
        <w:top w:val="single" w:color="auto" w:sz="4" w:space="1"/>
        <w:left w:val="single" w:color="auto" w:sz="4" w:space="1"/>
        <w:bottom w:val="single" w:color="auto" w:sz="4" w:space="0"/>
        <w:right w:val="single" w:color="auto" w:sz="4" w:space="1"/>
      </w:pBdr>
      <w:shd w:val="clear" w:color="000000" w:fill="9BC2E6"/>
      <w:spacing w:before="100" w:beforeAutospacing="1" w:after="100" w:afterAutospacing="1"/>
      <w:jc w:val="center"/>
      <w:textAlignment w:val="center"/>
    </w:pPr>
    <w:rPr>
      <w:rFonts w:ascii="等线" w:hAnsi="等线" w:eastAsia="等线"/>
      <w:color w:val="000000"/>
    </w:rPr>
  </w:style>
  <w:style w:type="paragraph" w:customStyle="1" w:styleId="25">
    <w:name w:val="xl7513771"/>
    <w:basedOn w:val="1"/>
    <w:qFormat/>
    <w:uiPriority w:val="0"/>
    <w:pPr>
      <w:shd w:val="clear" w:color="000000" w:fill="FFC000"/>
      <w:spacing w:before="100" w:beforeAutospacing="1" w:after="100" w:afterAutospacing="1"/>
      <w:jc w:val="center"/>
      <w:textAlignment w:val="center"/>
    </w:pPr>
    <w:rPr>
      <w:rFonts w:ascii="等线" w:hAnsi="等线" w:eastAsia="等线"/>
      <w:color w:val="000000"/>
    </w:rPr>
  </w:style>
  <w:style w:type="paragraph" w:customStyle="1" w:styleId="26">
    <w:name w:val="xl7613771"/>
    <w:basedOn w:val="1"/>
    <w:qFormat/>
    <w:uiPriority w:val="0"/>
    <w:pPr>
      <w:shd w:val="clear" w:color="000000" w:fill="9BC2E6"/>
      <w:spacing w:before="100" w:beforeAutospacing="1" w:after="100" w:afterAutospacing="1"/>
      <w:jc w:val="center"/>
      <w:textAlignment w:val="center"/>
    </w:pPr>
    <w:rPr>
      <w:rFonts w:ascii="等线" w:hAnsi="等线" w:eastAsia="等线"/>
      <w:color w:val="000000"/>
    </w:rPr>
  </w:style>
  <w:style w:type="paragraph" w:customStyle="1" w:styleId="27">
    <w:name w:val="xl7713771"/>
    <w:basedOn w:val="1"/>
    <w:qFormat/>
    <w:uiPriority w:val="0"/>
    <w:pPr>
      <w:shd w:val="clear" w:color="000000" w:fill="9BC2E6"/>
      <w:spacing w:before="100" w:beforeAutospacing="1" w:after="100" w:afterAutospacing="1"/>
      <w:textAlignment w:val="center"/>
    </w:pPr>
    <w:rPr>
      <w:rFonts w:ascii="等线" w:hAnsi="等线" w:eastAsia="等线"/>
      <w:color w:val="000000"/>
    </w:rPr>
  </w:style>
  <w:style w:type="paragraph" w:customStyle="1" w:styleId="28">
    <w:name w:val="xl7813771"/>
    <w:basedOn w:val="1"/>
    <w:qFormat/>
    <w:uiPriority w:val="0"/>
    <w:pPr>
      <w:shd w:val="clear" w:color="000000" w:fill="FF0000"/>
      <w:spacing w:before="100" w:beforeAutospacing="1" w:after="100" w:afterAutospacing="1"/>
      <w:jc w:val="center"/>
      <w:textAlignment w:val="center"/>
    </w:pPr>
    <w:rPr>
      <w:rFonts w:ascii="等线" w:hAnsi="等线" w:eastAsia="等线"/>
      <w:color w:val="000000"/>
    </w:rPr>
  </w:style>
  <w:style w:type="paragraph" w:customStyle="1" w:styleId="29">
    <w:name w:val="xl7913771"/>
    <w:basedOn w:val="1"/>
    <w:qFormat/>
    <w:uiPriority w:val="0"/>
    <w:pPr>
      <w:shd w:val="clear" w:color="000000" w:fill="FF0000"/>
      <w:spacing w:before="100" w:beforeAutospacing="1" w:after="100" w:afterAutospacing="1"/>
      <w:textAlignment w:val="center"/>
    </w:pPr>
    <w:rPr>
      <w:rFonts w:ascii="等线" w:hAnsi="等线" w:eastAsia="等线"/>
      <w:color w:val="000000"/>
    </w:rPr>
  </w:style>
  <w:style w:type="paragraph" w:customStyle="1" w:styleId="30">
    <w:name w:val="xl8013771"/>
    <w:basedOn w:val="1"/>
    <w:qFormat/>
    <w:uiPriority w:val="0"/>
    <w:pPr>
      <w:pBdr>
        <w:top w:val="single" w:color="auto" w:sz="4" w:space="1"/>
        <w:left w:val="single" w:color="auto" w:sz="4" w:space="1"/>
        <w:bottom w:val="single" w:color="auto" w:sz="4" w:space="0"/>
        <w:right w:val="single" w:color="auto" w:sz="4" w:space="1"/>
      </w:pBdr>
      <w:shd w:val="clear" w:color="000000" w:fill="FFD966"/>
      <w:spacing w:before="100" w:beforeAutospacing="1" w:after="100" w:afterAutospacing="1"/>
      <w:jc w:val="center"/>
      <w:textAlignment w:val="center"/>
    </w:pPr>
    <w:rPr>
      <w:rFonts w:ascii="等线" w:hAnsi="等线" w:eastAsia="等线"/>
      <w:color w:val="000000"/>
    </w:rPr>
  </w:style>
  <w:style w:type="paragraph" w:customStyle="1" w:styleId="31">
    <w:name w:val="xl8113771"/>
    <w:basedOn w:val="1"/>
    <w:qFormat/>
    <w:uiPriority w:val="0"/>
    <w:pPr>
      <w:shd w:val="clear" w:color="000000" w:fill="FFD966"/>
      <w:spacing w:before="100" w:beforeAutospacing="1" w:after="100" w:afterAutospacing="1"/>
      <w:jc w:val="center"/>
      <w:textAlignment w:val="center"/>
    </w:pPr>
    <w:rPr>
      <w:rFonts w:ascii="等线" w:hAnsi="等线" w:eastAsia="等线"/>
      <w:color w:val="000000"/>
    </w:rPr>
  </w:style>
  <w:style w:type="paragraph" w:customStyle="1" w:styleId="32">
    <w:name w:val="xl8213771"/>
    <w:basedOn w:val="1"/>
    <w:qFormat/>
    <w:uiPriority w:val="0"/>
    <w:pPr>
      <w:shd w:val="clear" w:color="000000" w:fill="FFD966"/>
      <w:spacing w:before="100" w:beforeAutospacing="1" w:after="100" w:afterAutospacing="1"/>
      <w:textAlignment w:val="center"/>
    </w:pPr>
    <w:rPr>
      <w:rFonts w:ascii="等线" w:hAnsi="等线" w:eastAsia="等线"/>
      <w:color w:val="000000"/>
    </w:rPr>
  </w:style>
  <w:style w:type="paragraph" w:customStyle="1" w:styleId="33">
    <w:name w:val="xl8313771"/>
    <w:basedOn w:val="1"/>
    <w:qFormat/>
    <w:uiPriority w:val="0"/>
    <w:pPr>
      <w:shd w:val="clear" w:color="000000" w:fill="FCE4D6"/>
      <w:spacing w:before="100" w:beforeAutospacing="1" w:after="100" w:afterAutospacing="1"/>
      <w:jc w:val="center"/>
      <w:textAlignment w:val="center"/>
    </w:pPr>
    <w:rPr>
      <w:rFonts w:ascii="等线" w:hAnsi="等线" w:eastAsia="等线"/>
      <w:color w:val="000000"/>
    </w:rPr>
  </w:style>
  <w:style w:type="paragraph" w:customStyle="1" w:styleId="34">
    <w:name w:val="xl8413771"/>
    <w:basedOn w:val="1"/>
    <w:qFormat/>
    <w:uiPriority w:val="0"/>
    <w:pPr>
      <w:shd w:val="clear" w:color="000000" w:fill="FCE4D6"/>
      <w:spacing w:before="100" w:beforeAutospacing="1" w:after="100" w:afterAutospacing="1"/>
      <w:textAlignment w:val="center"/>
    </w:pPr>
    <w:rPr>
      <w:rFonts w:ascii="等线" w:hAnsi="等线" w:eastAsia="等线"/>
      <w:color w:val="000000"/>
    </w:rPr>
  </w:style>
  <w:style w:type="paragraph" w:customStyle="1" w:styleId="35">
    <w:name w:val="xl8513771"/>
    <w:basedOn w:val="1"/>
    <w:qFormat/>
    <w:uiPriority w:val="0"/>
    <w:pPr>
      <w:shd w:val="clear" w:color="000000" w:fill="F4B084"/>
      <w:spacing w:before="100" w:beforeAutospacing="1" w:after="100" w:afterAutospacing="1"/>
      <w:jc w:val="center"/>
      <w:textAlignment w:val="center"/>
    </w:pPr>
    <w:rPr>
      <w:rFonts w:ascii="等线" w:hAnsi="等线" w:eastAsia="等线"/>
      <w:color w:val="000000"/>
    </w:rPr>
  </w:style>
  <w:style w:type="paragraph" w:customStyle="1" w:styleId="36">
    <w:name w:val="xl8613771"/>
    <w:basedOn w:val="1"/>
    <w:qFormat/>
    <w:uiPriority w:val="0"/>
    <w:pPr>
      <w:shd w:val="clear" w:color="000000" w:fill="F4B084"/>
      <w:spacing w:before="100" w:beforeAutospacing="1" w:after="100" w:afterAutospacing="1"/>
      <w:textAlignment w:val="center"/>
    </w:pPr>
    <w:rPr>
      <w:rFonts w:ascii="等线" w:hAnsi="等线" w:eastAsia="等线"/>
      <w:color w:val="000000"/>
    </w:rPr>
  </w:style>
  <w:style w:type="paragraph" w:customStyle="1" w:styleId="37">
    <w:name w:val="xl8713771"/>
    <w:basedOn w:val="1"/>
    <w:qFormat/>
    <w:uiPriority w:val="0"/>
    <w:pPr>
      <w:spacing w:before="100" w:beforeAutospacing="1" w:after="100" w:afterAutospacing="1"/>
      <w:jc w:val="center"/>
      <w:textAlignment w:val="center"/>
    </w:pPr>
    <w:rPr>
      <w:rFonts w:ascii="等线" w:hAnsi="等线" w:eastAsia="等线"/>
      <w:color w:val="000000"/>
    </w:rPr>
  </w:style>
  <w:style w:type="paragraph" w:customStyle="1" w:styleId="38">
    <w:name w:val="xl8813771"/>
    <w:basedOn w:val="1"/>
    <w:qFormat/>
    <w:uiPriority w:val="0"/>
    <w:pPr>
      <w:shd w:val="clear" w:color="000000" w:fill="FFD966"/>
      <w:spacing w:before="100" w:beforeAutospacing="1" w:after="100" w:afterAutospacing="1"/>
      <w:jc w:val="center"/>
      <w:textAlignment w:val="center"/>
    </w:pPr>
    <w:rPr>
      <w:rFonts w:ascii="等线" w:hAnsi="等线" w:eastAsia="等线"/>
      <w:color w:val="000000"/>
    </w:rPr>
  </w:style>
  <w:style w:type="paragraph" w:customStyle="1" w:styleId="39">
    <w:name w:val="xl8913771"/>
    <w:basedOn w:val="1"/>
    <w:qFormat/>
    <w:uiPriority w:val="0"/>
    <w:pPr>
      <w:shd w:val="clear" w:color="000000" w:fill="FFC000"/>
      <w:spacing w:before="100" w:beforeAutospacing="1" w:after="100" w:afterAutospacing="1"/>
      <w:jc w:val="center"/>
      <w:textAlignment w:val="center"/>
    </w:pPr>
    <w:rPr>
      <w:rFonts w:ascii="等线" w:hAnsi="等线" w:eastAsia="等线"/>
      <w:color w:val="000000"/>
    </w:rPr>
  </w:style>
  <w:style w:type="paragraph" w:customStyle="1" w:styleId="40">
    <w:name w:val="xl9013771"/>
    <w:basedOn w:val="1"/>
    <w:qFormat/>
    <w:uiPriority w:val="0"/>
    <w:pPr>
      <w:pBdr>
        <w:top w:val="single" w:color="auto" w:sz="4" w:space="1"/>
        <w:left w:val="single" w:color="auto" w:sz="4" w:space="1"/>
        <w:bottom w:val="single" w:color="auto" w:sz="4" w:space="0"/>
        <w:right w:val="single" w:color="auto" w:sz="4" w:space="1"/>
      </w:pBdr>
      <w:shd w:val="clear" w:color="000000" w:fill="F4B084"/>
      <w:spacing w:before="100" w:beforeAutospacing="1" w:after="100" w:afterAutospacing="1"/>
      <w:jc w:val="center"/>
      <w:textAlignment w:val="center"/>
    </w:pPr>
    <w:rPr>
      <w:rFonts w:ascii="等线" w:hAnsi="等线" w:eastAsia="等线"/>
      <w:color w:val="000000"/>
    </w:rPr>
  </w:style>
  <w:style w:type="paragraph" w:customStyle="1" w:styleId="41">
    <w:name w:val="xl9113771"/>
    <w:basedOn w:val="1"/>
    <w:qFormat/>
    <w:uiPriority w:val="0"/>
    <w:pPr>
      <w:shd w:val="clear" w:color="000000" w:fill="F4B084"/>
      <w:spacing w:before="100" w:beforeAutospacing="1" w:after="100" w:afterAutospacing="1"/>
      <w:jc w:val="center"/>
      <w:textAlignment w:val="center"/>
    </w:pPr>
    <w:rPr>
      <w:rFonts w:ascii="等线" w:hAnsi="等线" w:eastAsia="等线"/>
      <w:color w:val="000000"/>
    </w:rPr>
  </w:style>
  <w:style w:type="paragraph" w:customStyle="1" w:styleId="42">
    <w:name w:val="xl9213771"/>
    <w:basedOn w:val="1"/>
    <w:qFormat/>
    <w:uiPriority w:val="0"/>
    <w:pPr>
      <w:pBdr>
        <w:top w:val="single" w:color="auto" w:sz="4" w:space="1"/>
        <w:left w:val="single" w:color="auto" w:sz="4" w:space="1"/>
        <w:bottom w:val="single" w:color="auto" w:sz="4" w:space="0"/>
        <w:right w:val="single" w:color="auto" w:sz="4" w:space="1"/>
      </w:pBdr>
      <w:shd w:val="clear" w:color="000000" w:fill="FF0000"/>
      <w:spacing w:before="100" w:beforeAutospacing="1" w:after="100" w:afterAutospacing="1"/>
      <w:jc w:val="center"/>
      <w:textAlignment w:val="center"/>
    </w:pPr>
    <w:rPr>
      <w:rFonts w:ascii="等线" w:hAnsi="等线" w:eastAsia="等线"/>
      <w:color w:val="000000"/>
    </w:rPr>
  </w:style>
  <w:style w:type="paragraph" w:customStyle="1" w:styleId="43">
    <w:name w:val="xl9313771"/>
    <w:basedOn w:val="1"/>
    <w:qFormat/>
    <w:uiPriority w:val="0"/>
    <w:pPr>
      <w:pBdr>
        <w:top w:val="single" w:color="auto" w:sz="4" w:space="1"/>
        <w:bottom w:val="single" w:color="auto" w:sz="4" w:space="0"/>
        <w:right w:val="single" w:color="auto" w:sz="4" w:space="1"/>
      </w:pBdr>
      <w:shd w:val="clear" w:color="000000" w:fill="FF0000"/>
      <w:spacing w:before="100" w:beforeAutospacing="1" w:after="100" w:afterAutospacing="1"/>
      <w:jc w:val="center"/>
      <w:textAlignment w:val="center"/>
    </w:pPr>
    <w:rPr>
      <w:rFonts w:ascii="等线" w:hAnsi="等线" w:eastAsia="等线"/>
      <w:color w:val="000000"/>
    </w:rPr>
  </w:style>
  <w:style w:type="paragraph" w:customStyle="1" w:styleId="44">
    <w:name w:val="xl9413771"/>
    <w:basedOn w:val="1"/>
    <w:qFormat/>
    <w:uiPriority w:val="0"/>
    <w:pPr>
      <w:shd w:val="clear" w:color="000000" w:fill="FFFF00"/>
      <w:spacing w:before="100" w:beforeAutospacing="1" w:after="100" w:afterAutospacing="1"/>
      <w:jc w:val="center"/>
      <w:textAlignment w:val="center"/>
    </w:pPr>
    <w:rPr>
      <w:rFonts w:ascii="等线" w:hAnsi="等线" w:eastAsia="等线"/>
      <w:color w:val="000000"/>
    </w:rPr>
  </w:style>
  <w:style w:type="paragraph" w:customStyle="1" w:styleId="45">
    <w:name w:val="xl9513771"/>
    <w:basedOn w:val="1"/>
    <w:qFormat/>
    <w:uiPriority w:val="0"/>
    <w:pPr>
      <w:pBdr>
        <w:top w:val="single" w:color="auto" w:sz="4" w:space="1"/>
        <w:left w:val="single" w:color="auto" w:sz="4" w:space="1"/>
        <w:bottom w:val="single" w:color="auto" w:sz="4" w:space="0"/>
        <w:right w:val="single" w:color="auto" w:sz="4" w:space="1"/>
      </w:pBdr>
      <w:shd w:val="clear" w:color="000000" w:fill="FCE4D6"/>
      <w:spacing w:before="100" w:beforeAutospacing="1" w:after="100" w:afterAutospacing="1"/>
      <w:jc w:val="center"/>
      <w:textAlignment w:val="center"/>
    </w:pPr>
    <w:rPr>
      <w:rFonts w:ascii="等线" w:hAnsi="等线" w:eastAsia="等线"/>
      <w:color w:val="000000"/>
    </w:rPr>
  </w:style>
  <w:style w:type="paragraph" w:customStyle="1" w:styleId="46">
    <w:name w:val="xl9613771"/>
    <w:basedOn w:val="1"/>
    <w:qFormat/>
    <w:uiPriority w:val="0"/>
    <w:pPr>
      <w:shd w:val="clear" w:color="000000" w:fill="FCE4D6"/>
      <w:spacing w:before="100" w:beforeAutospacing="1" w:after="100" w:afterAutospacing="1"/>
      <w:jc w:val="center"/>
      <w:textAlignment w:val="center"/>
    </w:pPr>
    <w:rPr>
      <w:rFonts w:ascii="等线" w:hAnsi="等线" w:eastAsia="等线"/>
      <w:color w:val="000000"/>
    </w:rPr>
  </w:style>
  <w:style w:type="paragraph" w:customStyle="1" w:styleId="47">
    <w:name w:val="xl9713771"/>
    <w:basedOn w:val="1"/>
    <w:qFormat/>
    <w:uiPriority w:val="0"/>
    <w:pPr>
      <w:pBdr>
        <w:top w:val="single" w:color="auto" w:sz="4" w:space="1"/>
        <w:left w:val="single" w:color="auto" w:sz="4" w:space="1"/>
        <w:bottom w:val="single" w:color="auto" w:sz="4" w:space="0"/>
        <w:right w:val="single" w:color="auto" w:sz="4" w:space="1"/>
      </w:pBdr>
      <w:spacing w:before="100" w:beforeAutospacing="1" w:after="100" w:afterAutospacing="1"/>
      <w:jc w:val="center"/>
      <w:textAlignment w:val="center"/>
    </w:pPr>
    <w:rPr>
      <w:rFonts w:ascii="等线" w:hAnsi="等线" w:eastAsia="等线"/>
      <w:color w:val="000000"/>
    </w:rPr>
  </w:style>
  <w:style w:type="paragraph" w:customStyle="1" w:styleId="48">
    <w:name w:val="xl9813771"/>
    <w:basedOn w:val="1"/>
    <w:qFormat/>
    <w:uiPriority w:val="0"/>
    <w:pPr>
      <w:pBdr>
        <w:top w:val="single" w:color="auto" w:sz="4" w:space="1"/>
        <w:left w:val="single" w:color="auto" w:sz="4" w:space="1"/>
        <w:bottom w:val="single" w:color="auto" w:sz="4" w:space="0"/>
        <w:right w:val="single" w:color="auto" w:sz="4" w:space="1"/>
      </w:pBdr>
      <w:shd w:val="clear" w:color="000000" w:fill="70AD47"/>
      <w:spacing w:before="100" w:beforeAutospacing="1" w:after="100" w:afterAutospacing="1"/>
      <w:jc w:val="center"/>
      <w:textAlignment w:val="center"/>
    </w:pPr>
    <w:rPr>
      <w:rFonts w:ascii="等线" w:hAnsi="等线" w:eastAsia="等线"/>
      <w:color w:val="000000"/>
    </w:rPr>
  </w:style>
  <w:style w:type="paragraph" w:customStyle="1" w:styleId="49">
    <w:name w:val="xl9913771"/>
    <w:basedOn w:val="1"/>
    <w:qFormat/>
    <w:uiPriority w:val="0"/>
    <w:pPr>
      <w:shd w:val="clear" w:color="000000" w:fill="70AD47"/>
      <w:spacing w:before="100" w:beforeAutospacing="1" w:after="100" w:afterAutospacing="1"/>
      <w:jc w:val="center"/>
      <w:textAlignment w:val="center"/>
    </w:pPr>
    <w:rPr>
      <w:rFonts w:ascii="等线" w:hAnsi="等线" w:eastAsia="等线"/>
      <w:color w:val="000000"/>
    </w:rPr>
  </w:style>
  <w:style w:type="paragraph" w:customStyle="1" w:styleId="50">
    <w:name w:val="xl10013771"/>
    <w:basedOn w:val="1"/>
    <w:qFormat/>
    <w:uiPriority w:val="0"/>
    <w:pPr>
      <w:shd w:val="clear" w:color="000000" w:fill="70AD47"/>
      <w:spacing w:before="100" w:beforeAutospacing="1" w:after="100" w:afterAutospacing="1"/>
      <w:jc w:val="center"/>
      <w:textAlignment w:val="center"/>
    </w:pPr>
    <w:rPr>
      <w:rFonts w:ascii="等线" w:hAnsi="等线" w:eastAsia="等线"/>
      <w:color w:val="000000"/>
    </w:rPr>
  </w:style>
  <w:style w:type="paragraph" w:customStyle="1" w:styleId="51">
    <w:name w:val="xl10113771"/>
    <w:basedOn w:val="1"/>
    <w:qFormat/>
    <w:uiPriority w:val="0"/>
    <w:pPr>
      <w:shd w:val="clear" w:color="000000" w:fill="70AD47"/>
      <w:spacing w:before="100" w:beforeAutospacing="1" w:after="100" w:afterAutospacing="1"/>
      <w:textAlignment w:val="center"/>
    </w:pPr>
    <w:rPr>
      <w:rFonts w:ascii="等线" w:hAnsi="等线" w:eastAsia="等线"/>
      <w:color w:val="000000"/>
    </w:rPr>
  </w:style>
  <w:style w:type="paragraph" w:customStyle="1" w:styleId="52">
    <w:name w:val="xl10213771"/>
    <w:basedOn w:val="1"/>
    <w:qFormat/>
    <w:uiPriority w:val="0"/>
    <w:pPr>
      <w:pBdr>
        <w:top w:val="single" w:color="auto" w:sz="4" w:space="1"/>
        <w:left w:val="single" w:color="auto" w:sz="4" w:space="1"/>
        <w:bottom w:val="single" w:color="auto" w:sz="4" w:space="0"/>
        <w:right w:val="single" w:color="auto" w:sz="4" w:space="1"/>
      </w:pBdr>
      <w:shd w:val="clear" w:color="000000" w:fill="A5A5A5"/>
      <w:spacing w:before="100" w:beforeAutospacing="1" w:after="100" w:afterAutospacing="1"/>
      <w:jc w:val="center"/>
      <w:textAlignment w:val="center"/>
    </w:pPr>
    <w:rPr>
      <w:rFonts w:ascii="等线" w:hAnsi="等线" w:eastAsia="等线"/>
      <w:color w:val="000000"/>
    </w:rPr>
  </w:style>
  <w:style w:type="paragraph" w:customStyle="1" w:styleId="53">
    <w:name w:val="xl10313771"/>
    <w:basedOn w:val="1"/>
    <w:qFormat/>
    <w:uiPriority w:val="0"/>
    <w:pPr>
      <w:shd w:val="clear" w:color="000000" w:fill="A5A5A5"/>
      <w:spacing w:before="100" w:beforeAutospacing="1" w:after="100" w:afterAutospacing="1"/>
      <w:jc w:val="center"/>
      <w:textAlignment w:val="center"/>
    </w:pPr>
    <w:rPr>
      <w:rFonts w:ascii="等线" w:hAnsi="等线" w:eastAsia="等线"/>
      <w:color w:val="000000"/>
    </w:rPr>
  </w:style>
  <w:style w:type="paragraph" w:customStyle="1" w:styleId="54">
    <w:name w:val="xl10413771"/>
    <w:basedOn w:val="1"/>
    <w:qFormat/>
    <w:uiPriority w:val="0"/>
    <w:pPr>
      <w:shd w:val="clear" w:color="000000" w:fill="A5A5A5"/>
      <w:spacing w:before="100" w:beforeAutospacing="1" w:after="100" w:afterAutospacing="1"/>
      <w:jc w:val="center"/>
      <w:textAlignment w:val="center"/>
    </w:pPr>
    <w:rPr>
      <w:rFonts w:ascii="等线" w:hAnsi="等线" w:eastAsia="等线"/>
      <w:color w:val="000000"/>
    </w:rPr>
  </w:style>
  <w:style w:type="paragraph" w:customStyle="1" w:styleId="55">
    <w:name w:val="xl10513771"/>
    <w:basedOn w:val="1"/>
    <w:qFormat/>
    <w:uiPriority w:val="0"/>
    <w:pPr>
      <w:shd w:val="clear" w:color="000000" w:fill="A5A5A5"/>
      <w:spacing w:before="100" w:beforeAutospacing="1" w:after="100" w:afterAutospacing="1"/>
      <w:textAlignment w:val="center"/>
    </w:pPr>
    <w:rPr>
      <w:rFonts w:ascii="等线" w:hAnsi="等线" w:eastAsia="等线"/>
      <w:color w:val="000000"/>
    </w:rPr>
  </w:style>
  <w:style w:type="paragraph" w:customStyle="1" w:styleId="56">
    <w:name w:val="xl10613771"/>
    <w:basedOn w:val="1"/>
    <w:qFormat/>
    <w:uiPriority w:val="0"/>
    <w:pPr>
      <w:shd w:val="clear" w:color="000000" w:fill="9BC2E6"/>
      <w:spacing w:before="100" w:beforeAutospacing="1" w:after="100" w:afterAutospacing="1"/>
      <w:jc w:val="center"/>
      <w:textAlignment w:val="center"/>
    </w:pPr>
    <w:rPr>
      <w:rFonts w:ascii="等线" w:hAnsi="等线" w:eastAsia="等线"/>
      <w:color w:val="000000"/>
    </w:rPr>
  </w:style>
  <w:style w:type="paragraph" w:customStyle="1" w:styleId="57">
    <w:name w:val="xl10713771"/>
    <w:basedOn w:val="1"/>
    <w:qFormat/>
    <w:uiPriority w:val="0"/>
    <w:pPr>
      <w:pBdr>
        <w:top w:val="single" w:color="auto" w:sz="4" w:space="1"/>
        <w:left w:val="single" w:color="auto" w:sz="4" w:space="1"/>
        <w:bottom w:val="single" w:color="auto" w:sz="4" w:space="0"/>
        <w:right w:val="single" w:color="auto" w:sz="4" w:space="1"/>
      </w:pBdr>
      <w:shd w:val="clear" w:color="000000" w:fill="E2EFDA"/>
      <w:spacing w:before="100" w:beforeAutospacing="1" w:after="100" w:afterAutospacing="1"/>
      <w:jc w:val="center"/>
      <w:textAlignment w:val="center"/>
    </w:pPr>
    <w:rPr>
      <w:rFonts w:ascii="等线" w:hAnsi="等线" w:eastAsia="等线"/>
      <w:color w:val="000000"/>
    </w:rPr>
  </w:style>
  <w:style w:type="paragraph" w:customStyle="1" w:styleId="58">
    <w:name w:val="xl10813771"/>
    <w:basedOn w:val="1"/>
    <w:qFormat/>
    <w:uiPriority w:val="0"/>
    <w:pPr>
      <w:shd w:val="clear" w:color="000000" w:fill="E2EFDA"/>
      <w:spacing w:before="100" w:beforeAutospacing="1" w:after="100" w:afterAutospacing="1"/>
      <w:jc w:val="center"/>
      <w:textAlignment w:val="center"/>
    </w:pPr>
    <w:rPr>
      <w:rFonts w:ascii="等线" w:hAnsi="等线" w:eastAsia="等线"/>
      <w:color w:val="000000"/>
    </w:rPr>
  </w:style>
  <w:style w:type="paragraph" w:customStyle="1" w:styleId="59">
    <w:name w:val="xl10913771"/>
    <w:basedOn w:val="1"/>
    <w:qFormat/>
    <w:uiPriority w:val="0"/>
    <w:pPr>
      <w:shd w:val="clear" w:color="000000" w:fill="E2EFDA"/>
      <w:spacing w:before="100" w:beforeAutospacing="1" w:after="100" w:afterAutospacing="1"/>
      <w:textAlignment w:val="center"/>
    </w:pPr>
    <w:rPr>
      <w:rFonts w:ascii="等线" w:hAnsi="等线" w:eastAsia="等线"/>
      <w:color w:val="000000"/>
    </w:rPr>
  </w:style>
  <w:style w:type="paragraph" w:customStyle="1" w:styleId="60">
    <w:name w:val="xl11013771"/>
    <w:basedOn w:val="1"/>
    <w:qFormat/>
    <w:uiPriority w:val="0"/>
    <w:pPr>
      <w:pBdr>
        <w:top w:val="single" w:color="auto" w:sz="4" w:space="1"/>
        <w:bottom w:val="single" w:color="auto" w:sz="4" w:space="0"/>
        <w:right w:val="single" w:color="auto" w:sz="4" w:space="1"/>
      </w:pBdr>
      <w:shd w:val="clear" w:color="000000" w:fill="E2EFDA"/>
      <w:spacing w:before="100" w:beforeAutospacing="1" w:after="100" w:afterAutospacing="1"/>
      <w:jc w:val="center"/>
      <w:textAlignment w:val="center"/>
    </w:pPr>
    <w:rPr>
      <w:rFonts w:ascii="等线" w:hAnsi="等线" w:eastAsia="等线"/>
      <w:color w:val="000000"/>
    </w:rPr>
  </w:style>
  <w:style w:type="paragraph" w:customStyle="1" w:styleId="61">
    <w:name w:val="xl11113771"/>
    <w:basedOn w:val="1"/>
    <w:qFormat/>
    <w:uiPriority w:val="0"/>
    <w:pPr>
      <w:pBdr>
        <w:top w:val="single" w:color="auto" w:sz="4" w:space="1"/>
        <w:left w:val="single" w:color="auto" w:sz="4" w:space="1"/>
        <w:bottom w:val="single" w:color="auto" w:sz="4" w:space="0"/>
        <w:right w:val="single" w:color="auto" w:sz="4" w:space="1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rFonts w:ascii="等线" w:hAnsi="等线" w:eastAsia="等线"/>
      <w:color w:val="000000"/>
    </w:rPr>
  </w:style>
  <w:style w:type="paragraph" w:customStyle="1" w:styleId="62">
    <w:name w:val="xl11213771"/>
    <w:basedOn w:val="1"/>
    <w:qFormat/>
    <w:uiPriority w:val="0"/>
    <w:pPr>
      <w:shd w:val="clear" w:color="000000" w:fill="92D050"/>
      <w:spacing w:before="100" w:beforeAutospacing="1" w:after="100" w:afterAutospacing="1"/>
      <w:jc w:val="center"/>
      <w:textAlignment w:val="center"/>
    </w:pPr>
    <w:rPr>
      <w:rFonts w:ascii="等线" w:hAnsi="等线" w:eastAsia="等线"/>
      <w:color w:val="000000"/>
    </w:rPr>
  </w:style>
  <w:style w:type="paragraph" w:customStyle="1" w:styleId="63">
    <w:name w:val="xl11313771"/>
    <w:basedOn w:val="1"/>
    <w:qFormat/>
    <w:uiPriority w:val="0"/>
    <w:pPr>
      <w:shd w:val="clear" w:color="000000" w:fill="92D050"/>
      <w:spacing w:before="100" w:beforeAutospacing="1" w:after="100" w:afterAutospacing="1"/>
      <w:jc w:val="center"/>
      <w:textAlignment w:val="center"/>
    </w:pPr>
    <w:rPr>
      <w:rFonts w:ascii="等线" w:hAnsi="等线" w:eastAsia="等线"/>
      <w:color w:val="000000"/>
    </w:rPr>
  </w:style>
  <w:style w:type="paragraph" w:customStyle="1" w:styleId="64">
    <w:name w:val="xl11413771"/>
    <w:basedOn w:val="1"/>
    <w:qFormat/>
    <w:uiPriority w:val="0"/>
    <w:pPr>
      <w:shd w:val="clear" w:color="000000" w:fill="92D050"/>
      <w:spacing w:before="100" w:beforeAutospacing="1" w:after="100" w:afterAutospacing="1"/>
      <w:textAlignment w:val="center"/>
    </w:pPr>
    <w:rPr>
      <w:rFonts w:ascii="等线" w:hAnsi="等线" w:eastAsia="等线"/>
      <w:color w:val="000000"/>
    </w:rPr>
  </w:style>
  <w:style w:type="paragraph" w:customStyle="1" w:styleId="65">
    <w:name w:val="xl11513771"/>
    <w:basedOn w:val="1"/>
    <w:qFormat/>
    <w:uiPriority w:val="0"/>
    <w:pPr>
      <w:pBdr>
        <w:top w:val="single" w:color="auto" w:sz="4" w:space="1"/>
        <w:left w:val="single" w:color="auto" w:sz="4" w:space="1"/>
        <w:bottom w:val="single" w:color="auto" w:sz="4" w:space="0"/>
        <w:right w:val="single" w:color="auto" w:sz="4" w:space="1"/>
      </w:pBdr>
      <w:shd w:val="clear" w:color="000000" w:fill="AEAAAA"/>
      <w:spacing w:before="100" w:beforeAutospacing="1" w:after="100" w:afterAutospacing="1"/>
      <w:jc w:val="center"/>
      <w:textAlignment w:val="center"/>
    </w:pPr>
    <w:rPr>
      <w:rFonts w:ascii="等线" w:hAnsi="等线" w:eastAsia="等线"/>
      <w:color w:val="000000"/>
    </w:rPr>
  </w:style>
  <w:style w:type="paragraph" w:customStyle="1" w:styleId="66">
    <w:name w:val="xl11613771"/>
    <w:basedOn w:val="1"/>
    <w:qFormat/>
    <w:uiPriority w:val="0"/>
    <w:pPr>
      <w:pBdr>
        <w:top w:val="single" w:color="auto" w:sz="4" w:space="1"/>
        <w:left w:val="single" w:color="auto" w:sz="4" w:space="1"/>
        <w:bottom w:val="single" w:color="auto" w:sz="4" w:space="0"/>
        <w:right w:val="single" w:color="auto" w:sz="4" w:space="1"/>
      </w:pBdr>
      <w:shd w:val="clear" w:color="000000" w:fill="EDEDED"/>
      <w:spacing w:before="100" w:beforeAutospacing="1" w:after="100" w:afterAutospacing="1"/>
      <w:jc w:val="center"/>
      <w:textAlignment w:val="center"/>
    </w:pPr>
    <w:rPr>
      <w:rFonts w:ascii="等线" w:hAnsi="等线" w:eastAsia="等线"/>
      <w:color w:val="000000"/>
    </w:rPr>
  </w:style>
  <w:style w:type="paragraph" w:customStyle="1" w:styleId="67">
    <w:name w:val="xl11713771"/>
    <w:basedOn w:val="1"/>
    <w:qFormat/>
    <w:uiPriority w:val="0"/>
    <w:pPr>
      <w:shd w:val="clear" w:color="000000" w:fill="AEAAAA"/>
      <w:spacing w:before="100" w:beforeAutospacing="1" w:after="100" w:afterAutospacing="1"/>
      <w:jc w:val="center"/>
      <w:textAlignment w:val="center"/>
    </w:pPr>
    <w:rPr>
      <w:rFonts w:ascii="等线" w:hAnsi="等线" w:eastAsia="等线"/>
      <w:color w:val="000000"/>
    </w:rPr>
  </w:style>
  <w:style w:type="paragraph" w:customStyle="1" w:styleId="68">
    <w:name w:val="xl11813771"/>
    <w:basedOn w:val="1"/>
    <w:qFormat/>
    <w:uiPriority w:val="0"/>
    <w:pPr>
      <w:shd w:val="clear" w:color="000000" w:fill="AEAAAA"/>
      <w:spacing w:before="100" w:beforeAutospacing="1" w:after="100" w:afterAutospacing="1"/>
      <w:textAlignment w:val="center"/>
    </w:pPr>
    <w:rPr>
      <w:rFonts w:ascii="等线" w:hAnsi="等线" w:eastAsia="等线"/>
      <w:color w:val="000000"/>
    </w:rPr>
  </w:style>
  <w:style w:type="paragraph" w:customStyle="1" w:styleId="69">
    <w:name w:val="xl11913771"/>
    <w:basedOn w:val="1"/>
    <w:qFormat/>
    <w:uiPriority w:val="0"/>
    <w:pPr>
      <w:shd w:val="clear" w:color="000000" w:fill="AEAAAA"/>
      <w:spacing w:before="100" w:beforeAutospacing="1" w:after="100" w:afterAutospacing="1"/>
      <w:jc w:val="center"/>
      <w:textAlignment w:val="center"/>
    </w:pPr>
    <w:rPr>
      <w:rFonts w:ascii="等线" w:hAnsi="等线" w:eastAsia="等线"/>
      <w:color w:val="000000"/>
    </w:rPr>
  </w:style>
  <w:style w:type="paragraph" w:customStyle="1" w:styleId="70">
    <w:name w:val="xl12013771"/>
    <w:basedOn w:val="1"/>
    <w:qFormat/>
    <w:uiPriority w:val="0"/>
    <w:pPr>
      <w:pBdr>
        <w:top w:val="single" w:color="auto" w:sz="4" w:space="1"/>
        <w:left w:val="single" w:color="auto" w:sz="4" w:space="1"/>
        <w:bottom w:val="single" w:color="auto" w:sz="4" w:space="0"/>
        <w:right w:val="single" w:color="auto" w:sz="4" w:space="1"/>
      </w:pBdr>
      <w:spacing w:before="100" w:beforeAutospacing="1" w:after="100" w:afterAutospacing="1"/>
      <w:jc w:val="center"/>
      <w:textAlignment w:val="center"/>
    </w:pPr>
    <w:rPr>
      <w:rFonts w:ascii="等线" w:hAnsi="等线" w:eastAsia="等线"/>
      <w:color w:val="FF0000"/>
    </w:rPr>
  </w:style>
  <w:style w:type="paragraph" w:customStyle="1" w:styleId="71">
    <w:name w:val="xl12113771"/>
    <w:basedOn w:val="1"/>
    <w:qFormat/>
    <w:uiPriority w:val="0"/>
    <w:pPr>
      <w:pBdr>
        <w:top w:val="single" w:color="auto" w:sz="4" w:space="1"/>
        <w:left w:val="single" w:color="auto" w:sz="4" w:space="1"/>
        <w:bottom w:val="single" w:color="auto" w:sz="4" w:space="0"/>
        <w:right w:val="single" w:color="auto" w:sz="4" w:space="1"/>
      </w:pBdr>
      <w:spacing w:before="100" w:beforeAutospacing="1" w:after="100" w:afterAutospacing="1"/>
      <w:jc w:val="center"/>
      <w:textAlignment w:val="center"/>
    </w:pPr>
    <w:rPr>
      <w:rFonts w:ascii="等线" w:hAnsi="等线" w:eastAsia="等线"/>
    </w:rPr>
  </w:style>
  <w:style w:type="character" w:customStyle="1" w:styleId="72">
    <w:name w:val="页眉 字符"/>
    <w:basedOn w:val="6"/>
    <w:link w:val="4"/>
    <w:qFormat/>
    <w:uiPriority w:val="99"/>
    <w:rPr>
      <w:rFonts w:ascii="宋体" w:hAnsi="宋体" w:eastAsia="宋体" w:cs="宋体"/>
      <w:sz w:val="18"/>
      <w:szCs w:val="18"/>
    </w:rPr>
  </w:style>
  <w:style w:type="character" w:customStyle="1" w:styleId="73">
    <w:name w:val="页脚 字符"/>
    <w:basedOn w:val="6"/>
    <w:link w:val="3"/>
    <w:qFormat/>
    <w:uiPriority w:val="99"/>
    <w:rPr>
      <w:rFonts w:ascii="宋体" w:hAnsi="宋体" w:eastAsia="宋体" w:cs="宋体"/>
      <w:sz w:val="18"/>
      <w:szCs w:val="18"/>
    </w:rPr>
  </w:style>
  <w:style w:type="character" w:customStyle="1" w:styleId="74">
    <w:name w:val="font31"/>
    <w:basedOn w:val="6"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  <w:style w:type="character" w:customStyle="1" w:styleId="75">
    <w:name w:val="font11"/>
    <w:basedOn w:val="6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76">
    <w:name w:val="font01"/>
    <w:basedOn w:val="6"/>
    <w:qFormat/>
    <w:uiPriority w:val="0"/>
    <w:rPr>
      <w:rFonts w:ascii="Arial" w:hAnsi="Arial" w:cs="Arial"/>
      <w:color w:val="000000"/>
      <w:sz w:val="24"/>
      <w:szCs w:val="24"/>
      <w:u w:val="none"/>
    </w:rPr>
  </w:style>
  <w:style w:type="character" w:customStyle="1" w:styleId="77">
    <w:name w:val="font21"/>
    <w:basedOn w:val="6"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  <w:style w:type="character" w:customStyle="1" w:styleId="78">
    <w:name w:val="font41"/>
    <w:basedOn w:val="6"/>
    <w:qFormat/>
    <w:uiPriority w:val="0"/>
    <w:rPr>
      <w:rFonts w:ascii="Arial" w:hAnsi="Arial" w:cs="Arial"/>
      <w:color w:val="000000"/>
      <w:sz w:val="24"/>
      <w:szCs w:val="24"/>
      <w:u w:val="none"/>
    </w:rPr>
  </w:style>
  <w:style w:type="character" w:customStyle="1" w:styleId="79">
    <w:name w:val="批注框文本 字符"/>
    <w:basedOn w:val="6"/>
    <w:link w:val="2"/>
    <w:semiHidden/>
    <w:qFormat/>
    <w:uiPriority w:val="99"/>
    <w:rPr>
      <w:rFonts w:ascii="宋体" w:hAnsi="宋体" w:cs="宋体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Organization</Company>
  <Pages>34</Pages>
  <Words>2279</Words>
  <Characters>12991</Characters>
  <Lines>108</Lines>
  <Paragraphs>30</Paragraphs>
  <TotalTime>1</TotalTime>
  <ScaleCrop>false</ScaleCrop>
  <LinksUpToDate>false</LinksUpToDate>
  <CharactersWithSpaces>15240</CharactersWithSpaces>
  <Application>WPS Office_11.8.2.9022_F1E327BC-269C-435d-A152-05C5408002CA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2021-09-30T03:37:00Z</dcterms:created>
  <dc:creator>Windows 用户</dc:creator>
  <cp:lastModifiedBy>刘向阳</cp:lastModifiedBy>
  <cp:lastPrinted>2023-09-19T11:37:00Z</cp:lastPrinted>
  <dcterms:modified xsi:type="dcterms:W3CDTF">2023-10-12T11:38:30Z</dcterms:modified>
  <dc:title>附件1</dc:title>
  <cp:revision>102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2052-11.8.2.9022</vt:lpwstr>
  </property>
</Properties>
</file>