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47F6D">
      <w:pPr>
        <w:pStyle w:val="45"/>
        <w:sectPr>
          <w:headerReference r:id="rId5" w:type="first"/>
          <w:headerReference r:id="rId3" w:type="default"/>
          <w:footerReference r:id="rId6" w:type="default"/>
          <w:headerReference r:id="rId4" w:type="even"/>
          <w:footerReference r:id="rId7" w:type="even"/>
          <w:pgSz w:w="11907" w:h="16839"/>
          <w:pgMar w:top="567" w:right="851" w:bottom="1361" w:left="1418" w:header="0" w:footer="0" w:gutter="0"/>
          <w:pgNumType w:start="1"/>
          <w:cols w:space="720" w:num="1"/>
          <w:titlePg/>
          <w:docGrid w:type="lines" w:linePitch="312" w:charSpace="0"/>
        </w:sectPr>
      </w:pPr>
      <w:bookmarkStart w:id="0" w:name="SectionMark0"/>
      <w:bookmarkStart w:id="1" w:name="SectionMark2"/>
      <w: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8861425</wp:posOffset>
                </wp:positionV>
                <wp:extent cx="6121400" cy="0"/>
                <wp:effectExtent l="0" t="6350" r="0" b="6350"/>
                <wp:wrapNone/>
                <wp:docPr id="10" name="直线 33"/>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直线 33" o:spid="_x0000_s1026" o:spt="20" style="position:absolute;left:0pt;margin-left:0pt;margin-top:697.75pt;height:0pt;width:482pt;z-index:251668480;mso-width-relative:page;mso-height-relative:page;" filled="f" stroked="t" coordsize="21600,21600" o:allowincell="f" o:gfxdata="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8yLsvUAAAACgEAAA8A&#10;AAAAAAAAAQAgAAAAIgAAAGRycy9kb3ducmV2LnhtbFBLAQIUABQAAAAIAIdO4kANC8oN4gEAANID&#10;AAAOAAAAAAAAAAEAIAAAACMBAABkcnMvZTJvRG9jLnhtbFBLBQYAAAAABgAGAFkBAAB3BQAAAAA=&#10;">
                <v:fill on="f" focussize="0,0"/>
                <v:stroke weight="1pt" color="#800008" joinstyle="round"/>
                <v:imagedata o:title=""/>
                <o:lock v:ext="edit" aspectratio="f"/>
              </v:line>
            </w:pict>
          </mc:Fallback>
        </mc:AlternateContent>
      </w:r>
      <w: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2273300</wp:posOffset>
                </wp:positionV>
                <wp:extent cx="6121400" cy="0"/>
                <wp:effectExtent l="0" t="6350" r="0" b="6350"/>
                <wp:wrapNone/>
                <wp:docPr id="9" name="直线 32"/>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wps:wsp>
                  </a:graphicData>
                </a:graphic>
              </wp:anchor>
            </w:drawing>
          </mc:Choice>
          <mc:Fallback>
            <w:pict>
              <v:line id="直线 32" o:spid="_x0000_s1026" o:spt="20" style="position:absolute;left:0pt;margin-left:0pt;margin-top:179pt;height:0pt;width:482pt;z-index:251667456;mso-width-relative:page;mso-height-relative:page;" filled="f" stroked="t" coordsize="21600,21600" o:allowincell="f" o:gfxdata="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Eor7UAAAACAEAAA8A&#10;AAAAAAAAAQAgAAAAIgAAAGRycy9kb3ducmV2LnhtbFBLAQIUABQAAAAIAIdO4kBHB1GO4gEAANED&#10;AAAOAAAAAAAAAAEAIAAAACMBAABkcnMvZTJvRG9jLnhtbFBLBQYAAAAABgAGAFkBAAB3BQAAAAA=&#10;">
                <v:fill on="f" focussize="0,0"/>
                <v:stroke weight="1pt" color="#800008" joinstyle="round"/>
                <v:imagedata o:title=""/>
                <o:lock v:ext="edit" aspectratio="f"/>
              </v:line>
            </w:pict>
          </mc:Fallback>
        </mc:AlternateContent>
      </w:r>
      <w:r>
        <mc:AlternateContent>
          <mc:Choice Requires="wps">
            <w:drawing>
              <wp:anchor distT="0" distB="0" distL="114300" distR="114300" simplePos="0" relativeHeight="251666432" behindDoc="0" locked="1" layoutInCell="0" allowOverlap="1">
                <wp:simplePos x="0" y="0"/>
                <wp:positionH relativeFrom="margin">
                  <wp:posOffset>0</wp:posOffset>
                </wp:positionH>
                <wp:positionV relativeFrom="margin">
                  <wp:posOffset>8960485</wp:posOffset>
                </wp:positionV>
                <wp:extent cx="6120130" cy="495300"/>
                <wp:effectExtent l="0" t="0" r="1270" b="0"/>
                <wp:wrapNone/>
                <wp:docPr id="8" name="fmFrame7"/>
                <wp:cNvGraphicFramePr/>
                <a:graphic xmlns:a="http://schemas.openxmlformats.org/drawingml/2006/main">
                  <a:graphicData uri="http://schemas.microsoft.com/office/word/2010/wordprocessingShape">
                    <wps:wsp>
                      <wps:cNvSpPr txBox="1"/>
                      <wps:spPr>
                        <a:xfrm>
                          <a:off x="0" y="0"/>
                          <a:ext cx="6120130" cy="495300"/>
                        </a:xfrm>
                        <a:prstGeom prst="rect">
                          <a:avLst/>
                        </a:prstGeom>
                        <a:solidFill>
                          <a:srgbClr val="FFFFFF"/>
                        </a:solidFill>
                        <a:ln>
                          <a:noFill/>
                        </a:ln>
                      </wps:spPr>
                      <wps:txbx>
                        <w:txbxContent>
                          <w:tbl>
                            <w:tblPr>
                              <w:tblStyle w:val="15"/>
                              <w:tblW w:w="0" w:type="auto"/>
                              <w:tblInd w:w="423"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7350"/>
                              <w:gridCol w:w="1890"/>
                            </w:tblGrid>
                            <w:tr w14:paraId="128D4AE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38" w:hRule="atLeast"/>
                              </w:trPr>
                              <w:tc>
                                <w:tcPr>
                                  <w:tcW w:w="7350" w:type="dxa"/>
                                  <w:vAlign w:val="center"/>
                                </w:tcPr>
                                <w:p w14:paraId="0CE7DEA2">
                                  <w:pPr>
                                    <w:pStyle w:val="36"/>
                                    <w:spacing w:line="400" w:lineRule="exact"/>
                                    <w:jc w:val="distribute"/>
                                    <w:rPr>
                                      <w:rFonts w:ascii="华文中宋" w:hAnsi="华文中宋" w:eastAsia="华文中宋"/>
                                      <w:color w:val="000000"/>
                                      <w:spacing w:val="0"/>
                                      <w:w w:val="100"/>
                                      <w:sz w:val="32"/>
                                      <w:szCs w:val="32"/>
                                    </w:rPr>
                                  </w:pPr>
                                  <w:r>
                                    <w:rPr>
                                      <w:rFonts w:hint="eastAsia" w:ascii="华文中宋" w:hAnsi="华文中宋" w:eastAsia="华文中宋"/>
                                      <w:color w:val="000000"/>
                                      <w:spacing w:val="0"/>
                                      <w:w w:val="100"/>
                                      <w:sz w:val="32"/>
                                      <w:szCs w:val="32"/>
                                    </w:rPr>
                                    <w:t>国家市场监督管理总局</w:t>
                                  </w:r>
                                </w:p>
                                <w:p w14:paraId="16D993BC">
                                  <w:pPr>
                                    <w:pStyle w:val="36"/>
                                    <w:spacing w:line="400" w:lineRule="exact"/>
                                    <w:jc w:val="distribute"/>
                                    <w:rPr>
                                      <w:color w:val="000000"/>
                                      <w:spacing w:val="0"/>
                                      <w:w w:val="100"/>
                                      <w:sz w:val="32"/>
                                      <w:szCs w:val="32"/>
                                    </w:rPr>
                                  </w:pPr>
                                  <w:r>
                                    <w:rPr>
                                      <w:rFonts w:hint="eastAsia" w:ascii="华文中宋" w:hAnsi="华文中宋" w:eastAsia="华文中宋"/>
                                      <w:color w:val="000000"/>
                                      <w:spacing w:val="0"/>
                                      <w:w w:val="100"/>
                                      <w:sz w:val="32"/>
                                      <w:szCs w:val="32"/>
                                    </w:rPr>
                                    <w:t>国家标准化管理委员会</w:t>
                                  </w:r>
                                </w:p>
                              </w:tc>
                              <w:tc>
                                <w:tcPr>
                                  <w:tcW w:w="1890" w:type="dxa"/>
                                  <w:vAlign w:val="center"/>
                                </w:tcPr>
                                <w:p w14:paraId="6387CC03">
                                  <w:pPr>
                                    <w:pStyle w:val="36"/>
                                    <w:jc w:val="both"/>
                                    <w:rPr>
                                      <w:color w:val="000000"/>
                                    </w:rPr>
                                  </w:pPr>
                                  <w:r>
                                    <w:rPr>
                                      <w:rStyle w:val="35"/>
                                      <w:rFonts w:hint="eastAsia"/>
                                      <w:color w:val="000000"/>
                                    </w:rPr>
                                    <w:t>发布</w:t>
                                  </w:r>
                                </w:p>
                              </w:tc>
                            </w:tr>
                          </w:tbl>
                          <w:p w14:paraId="51C7A74C">
                            <w:pPr>
                              <w:pStyle w:val="36"/>
                            </w:pPr>
                          </w:p>
                        </w:txbxContent>
                      </wps:txbx>
                      <wps:bodyPr wrap="square" lIns="0" tIns="0" rIns="0" bIns="0" upright="1"/>
                    </wps:wsp>
                  </a:graphicData>
                </a:graphic>
              </wp:anchor>
            </w:drawing>
          </mc:Choice>
          <mc:Fallback>
            <w:pict>
              <v:shape id="fmFrame7" o:spid="_x0000_s1026" o:spt="202" type="#_x0000_t202" style="position:absolute;left:0pt;margin-left:0pt;margin-top:705.55pt;height:39pt;width:481.9pt;mso-position-horizontal-relative:margin;mso-position-vertical-relative:margin;z-index:251666432;mso-width-relative:page;mso-height-relative:page;" fillcolor="#FFFFFF" filled="t" stroked="f" coordsize="21600,21600" o:allowincell="f" o:gfxdata="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xIklX9gAAAAKAQAADwAAAAAAAAABACAAAAAiAAAAZHJzL2Rv&#10;d25yZXYueG1sUEsBAhQAFAAAAAgAh07iQGrX7jnIAQAApgMAAA4AAAAAAAAAAQAgAAAAJwEAAGRy&#10;cy9lMm9Eb2MueG1sUEsFBgAAAAAGAAYAWQEAAGEFAAAAAA==&#10;">
                <v:fill on="t" focussize="0,0"/>
                <v:stroke on="f"/>
                <v:imagedata o:title=""/>
                <o:lock v:ext="edit" aspectratio="f"/>
                <v:textbox inset="0mm,0mm,0mm,0mm">
                  <w:txbxContent>
                    <w:tbl>
                      <w:tblPr>
                        <w:tblStyle w:val="15"/>
                        <w:tblW w:w="0" w:type="auto"/>
                        <w:tblInd w:w="423"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7350"/>
                        <w:gridCol w:w="1890"/>
                      </w:tblGrid>
                      <w:tr w14:paraId="128D4AE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38" w:hRule="atLeast"/>
                        </w:trPr>
                        <w:tc>
                          <w:tcPr>
                            <w:tcW w:w="7350" w:type="dxa"/>
                            <w:vAlign w:val="center"/>
                          </w:tcPr>
                          <w:p w14:paraId="0CE7DEA2">
                            <w:pPr>
                              <w:pStyle w:val="36"/>
                              <w:spacing w:line="400" w:lineRule="exact"/>
                              <w:jc w:val="distribute"/>
                              <w:rPr>
                                <w:rFonts w:ascii="华文中宋" w:hAnsi="华文中宋" w:eastAsia="华文中宋"/>
                                <w:color w:val="000000"/>
                                <w:spacing w:val="0"/>
                                <w:w w:val="100"/>
                                <w:sz w:val="32"/>
                                <w:szCs w:val="32"/>
                              </w:rPr>
                            </w:pPr>
                            <w:r>
                              <w:rPr>
                                <w:rFonts w:hint="eastAsia" w:ascii="华文中宋" w:hAnsi="华文中宋" w:eastAsia="华文中宋"/>
                                <w:color w:val="000000"/>
                                <w:spacing w:val="0"/>
                                <w:w w:val="100"/>
                                <w:sz w:val="32"/>
                                <w:szCs w:val="32"/>
                              </w:rPr>
                              <w:t>国家市场监督管理总局</w:t>
                            </w:r>
                          </w:p>
                          <w:p w14:paraId="16D993BC">
                            <w:pPr>
                              <w:pStyle w:val="36"/>
                              <w:spacing w:line="400" w:lineRule="exact"/>
                              <w:jc w:val="distribute"/>
                              <w:rPr>
                                <w:color w:val="000000"/>
                                <w:spacing w:val="0"/>
                                <w:w w:val="100"/>
                                <w:sz w:val="32"/>
                                <w:szCs w:val="32"/>
                              </w:rPr>
                            </w:pPr>
                            <w:r>
                              <w:rPr>
                                <w:rFonts w:hint="eastAsia" w:ascii="华文中宋" w:hAnsi="华文中宋" w:eastAsia="华文中宋"/>
                                <w:color w:val="000000"/>
                                <w:spacing w:val="0"/>
                                <w:w w:val="100"/>
                                <w:sz w:val="32"/>
                                <w:szCs w:val="32"/>
                              </w:rPr>
                              <w:t>国家标准化管理委员会</w:t>
                            </w:r>
                          </w:p>
                        </w:tc>
                        <w:tc>
                          <w:tcPr>
                            <w:tcW w:w="1890" w:type="dxa"/>
                            <w:vAlign w:val="center"/>
                          </w:tcPr>
                          <w:p w14:paraId="6387CC03">
                            <w:pPr>
                              <w:pStyle w:val="36"/>
                              <w:jc w:val="both"/>
                              <w:rPr>
                                <w:color w:val="000000"/>
                              </w:rPr>
                            </w:pPr>
                            <w:r>
                              <w:rPr>
                                <w:rStyle w:val="35"/>
                                <w:rFonts w:hint="eastAsia"/>
                                <w:color w:val="000000"/>
                              </w:rPr>
                              <w:t>发布</w:t>
                            </w:r>
                          </w:p>
                        </w:tc>
                      </w:tr>
                    </w:tbl>
                    <w:p w14:paraId="51C7A74C">
                      <w:pPr>
                        <w:pStyle w:val="36"/>
                      </w:pPr>
                    </w:p>
                  </w:txbxContent>
                </v:textbox>
                <w10:anchorlock/>
              </v:shape>
            </w:pict>
          </mc:Fallback>
        </mc:AlternateContent>
      </w:r>
      <w:r>
        <mc:AlternateContent>
          <mc:Choice Requires="wps">
            <w:drawing>
              <wp:anchor distT="0" distB="0" distL="114300" distR="114300" simplePos="0" relativeHeight="251665408" behindDoc="0" locked="1" layoutInCell="0" allowOverlap="1">
                <wp:simplePos x="0" y="0"/>
                <wp:positionH relativeFrom="margin">
                  <wp:posOffset>4067175</wp:posOffset>
                </wp:positionH>
                <wp:positionV relativeFrom="margin">
                  <wp:posOffset>8519160</wp:posOffset>
                </wp:positionV>
                <wp:extent cx="2019300" cy="312420"/>
                <wp:effectExtent l="0" t="0" r="0" b="5080"/>
                <wp:wrapNone/>
                <wp:docPr id="7"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79A5B8D9">
                            <w:pPr>
                              <w:pStyle w:val="47"/>
                            </w:pPr>
                            <w:r>
                              <w:rPr>
                                <w:rFonts w:hint="eastAsia"/>
                              </w:rPr>
                              <w:t>202×-××-××实施</w:t>
                            </w:r>
                          </w:p>
                        </w:txbxContent>
                      </wps:txbx>
                      <wps:bodyPr wrap="square" lIns="0" tIns="0" rIns="0" bIns="0" upright="1"/>
                    </wps:wsp>
                  </a:graphicData>
                </a:graphic>
              </wp:anchor>
            </w:drawing>
          </mc:Choice>
          <mc:Fallback>
            <w:pict>
              <v:shape id="fmFrame6" o:spid="_x0000_s1026" o:spt="202" type="#_x0000_t202" style="position:absolute;left:0pt;margin-left:320.25pt;margin-top:670.8pt;height:24.6pt;width:159pt;mso-position-horizontal-relative:margin;mso-position-vertical-relative:margin;z-index:251665408;mso-width-relative:page;mso-height-relative:page;" fillcolor="#FFFFFF" filled="t" stroked="f" coordsize="21600,21600" o:allowincell="f" o:gfxdata="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93VttoAAAANAQAADwAAAAAAAAABACAAAAAiAAAAZHJz&#10;L2Rvd25yZXYueG1sUEsBAhQAFAAAAAgAh07iQGw+FhLJAQAApgMAAA4AAAAAAAAAAQAgAAAAKQEA&#10;AGRycy9lMm9Eb2MueG1sUEsFBgAAAAAGAAYAWQEAAGQFAAAAAA==&#10;">
                <v:fill on="t" focussize="0,0"/>
                <v:stroke on="f"/>
                <v:imagedata o:title=""/>
                <o:lock v:ext="edit" aspectratio="f"/>
                <v:textbox inset="0mm,0mm,0mm,0mm">
                  <w:txbxContent>
                    <w:p w14:paraId="79A5B8D9">
                      <w:pPr>
                        <w:pStyle w:val="47"/>
                      </w:pPr>
                      <w:r>
                        <w:rPr>
                          <w:rFonts w:hint="eastAsia"/>
                        </w:rPr>
                        <w:t>202×-××-××实施</w:t>
                      </w:r>
                    </w:p>
                  </w:txbxContent>
                </v:textbox>
                <w10:anchorlock/>
              </v:shape>
            </w:pict>
          </mc:Fallback>
        </mc:AlternateContent>
      </w:r>
      <w:r>
        <mc:AlternateContent>
          <mc:Choice Requires="wps">
            <w:drawing>
              <wp:anchor distT="0" distB="0" distL="114300" distR="114300" simplePos="0" relativeHeight="251664384" behindDoc="0" locked="1" layoutInCell="0" allowOverlap="1">
                <wp:simplePos x="0" y="0"/>
                <wp:positionH relativeFrom="margin">
                  <wp:posOffset>0</wp:posOffset>
                </wp:positionH>
                <wp:positionV relativeFrom="margin">
                  <wp:posOffset>8519160</wp:posOffset>
                </wp:positionV>
                <wp:extent cx="2019300" cy="312420"/>
                <wp:effectExtent l="0" t="0" r="0" b="5080"/>
                <wp:wrapNone/>
                <wp:docPr id="6"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6664CCB9">
                            <w:pPr>
                              <w:pStyle w:val="37"/>
                            </w:pPr>
                            <w:r>
                              <w:rPr>
                                <w:rFonts w:hint="eastAsia"/>
                              </w:rPr>
                              <w:t>202×-××-××发布</w:t>
                            </w:r>
                          </w:p>
                        </w:txbxContent>
                      </wps:txbx>
                      <wps:bodyPr wrap="square" lIns="0" tIns="0" rIns="0" bIns="0" upright="1"/>
                    </wps:wsp>
                  </a:graphicData>
                </a:graphic>
              </wp:anchor>
            </w:drawing>
          </mc:Choice>
          <mc:Fallback>
            <w:pict>
              <v:shape id="fmFrame5" o:spid="_x0000_s1026" o:spt="202" type="#_x0000_t202" style="position:absolute;left:0pt;margin-left:0pt;margin-top:670.8pt;height:24.6pt;width:159pt;mso-position-horizontal-relative:margin;mso-position-vertical-relative:margin;z-index:251664384;mso-width-relative:page;mso-height-relative:page;" fillcolor="#FFFFFF" filled="t" stroked="f" coordsize="21600,21600" o:allowincell="f" o:gfxdata="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7M3D7YAAAACgEAAA8AAAAAAAAAAQAgAAAAIgAAAGRycy9k&#10;b3ducmV2LnhtbFBLAQIUABQAAAAIAIdO4kDhYe2YyQEAAKYDAAAOAAAAAAAAAAEAIAAAACcBAABk&#10;cnMvZTJvRG9jLnhtbFBLBQYAAAAABgAGAFkBAABiBQAAAAA=&#10;">
                <v:fill on="t" focussize="0,0"/>
                <v:stroke on="f"/>
                <v:imagedata o:title=""/>
                <o:lock v:ext="edit" aspectratio="f"/>
                <v:textbox inset="0mm,0mm,0mm,0mm">
                  <w:txbxContent>
                    <w:p w14:paraId="6664CCB9">
                      <w:pPr>
                        <w:pStyle w:val="37"/>
                      </w:pPr>
                      <w:r>
                        <w:rPr>
                          <w:rFonts w:hint="eastAsia"/>
                        </w:rPr>
                        <w:t>202×-××-××发布</w:t>
                      </w:r>
                    </w:p>
                  </w:txbxContent>
                </v:textbox>
                <w10:anchorlock/>
              </v:shape>
            </w:pict>
          </mc:Fallback>
        </mc:AlternateContent>
      </w:r>
      <w:r>
        <mc:AlternateContent>
          <mc:Choice Requires="wps">
            <w:drawing>
              <wp:anchor distT="0" distB="0" distL="114300" distR="114300" simplePos="0" relativeHeight="251663360" behindDoc="0" locked="1" layoutInCell="0" allowOverlap="1">
                <wp:simplePos x="0" y="0"/>
                <wp:positionH relativeFrom="margin">
                  <wp:posOffset>-1270</wp:posOffset>
                </wp:positionH>
                <wp:positionV relativeFrom="margin">
                  <wp:posOffset>3633470</wp:posOffset>
                </wp:positionV>
                <wp:extent cx="5969000" cy="4886325"/>
                <wp:effectExtent l="0" t="0" r="0" b="9525"/>
                <wp:wrapNone/>
                <wp:docPr id="5" name="fmFrame4"/>
                <wp:cNvGraphicFramePr/>
                <a:graphic xmlns:a="http://schemas.openxmlformats.org/drawingml/2006/main">
                  <a:graphicData uri="http://schemas.microsoft.com/office/word/2010/wordprocessingShape">
                    <wps:wsp>
                      <wps:cNvSpPr txBox="1"/>
                      <wps:spPr>
                        <a:xfrm>
                          <a:off x="0" y="0"/>
                          <a:ext cx="5969000" cy="4886325"/>
                        </a:xfrm>
                        <a:prstGeom prst="rect">
                          <a:avLst/>
                        </a:prstGeom>
                        <a:solidFill>
                          <a:srgbClr val="FFFFFF"/>
                        </a:solidFill>
                        <a:ln>
                          <a:noFill/>
                        </a:ln>
                      </wps:spPr>
                      <wps:txbx>
                        <w:txbxContent>
                          <w:p w14:paraId="19B6BD7A">
                            <w:pPr>
                              <w:pStyle w:val="40"/>
                            </w:pPr>
                            <w:r>
                              <w:rPr>
                                <w:rFonts w:hint="eastAsia"/>
                              </w:rPr>
                              <w:t>三轮</w:t>
                            </w:r>
                            <w:r>
                              <w:t>汽车</w:t>
                            </w:r>
                            <w:r>
                              <w:rPr>
                                <w:rFonts w:hint="eastAsia"/>
                              </w:rPr>
                              <w:t xml:space="preserve">  安全技术</w:t>
                            </w:r>
                            <w:r>
                              <w:t>规范</w:t>
                            </w:r>
                          </w:p>
                          <w:p w14:paraId="40403BC7">
                            <w:pPr>
                              <w:pStyle w:val="43"/>
                              <w:spacing w:before="0"/>
                              <w:rPr>
                                <w:b/>
                                <w:sz w:val="32"/>
                                <w:szCs w:val="32"/>
                              </w:rPr>
                            </w:pPr>
                          </w:p>
                          <w:p w14:paraId="4CA23B31">
                            <w:pPr>
                              <w:pStyle w:val="43"/>
                              <w:spacing w:before="0"/>
                              <w:rPr>
                                <w:b/>
                                <w:sz w:val="32"/>
                                <w:szCs w:val="32"/>
                              </w:rPr>
                            </w:pPr>
                          </w:p>
                          <w:p w14:paraId="591AD3FB">
                            <w:pPr>
                              <w:pStyle w:val="43"/>
                              <w:spacing w:before="0"/>
                              <w:rPr>
                                <w:b/>
                                <w:sz w:val="32"/>
                                <w:szCs w:val="32"/>
                              </w:rPr>
                            </w:pPr>
                            <w:r>
                              <w:rPr>
                                <w:b/>
                                <w:sz w:val="32"/>
                                <w:szCs w:val="32"/>
                              </w:rPr>
                              <w:t>Tri-wheel vehicles —Safety technical specification</w:t>
                            </w:r>
                          </w:p>
                          <w:p w14:paraId="0057F0B9">
                            <w:pPr>
                              <w:pStyle w:val="44"/>
                            </w:pPr>
                          </w:p>
                          <w:p w14:paraId="7F40872C">
                            <w:pPr>
                              <w:pStyle w:val="44"/>
                            </w:pPr>
                          </w:p>
                          <w:p w14:paraId="3AF66B1A">
                            <w:pPr>
                              <w:pStyle w:val="42"/>
                              <w:rPr>
                                <w:b/>
                                <w:bCs/>
                                <w:sz w:val="28"/>
                                <w:szCs w:val="28"/>
                              </w:rPr>
                            </w:pPr>
                            <w:r>
                              <w:rPr>
                                <w:rFonts w:hint="eastAsia"/>
                                <w:b/>
                                <w:bCs/>
                                <w:sz w:val="28"/>
                                <w:szCs w:val="28"/>
                              </w:rPr>
                              <w:t>（征求意见稿）</w:t>
                            </w:r>
                          </w:p>
                          <w:p w14:paraId="63B4D552">
                            <w:pPr>
                              <w:pStyle w:val="42"/>
                              <w:rPr>
                                <w:b/>
                                <w:bCs/>
                                <w:sz w:val="28"/>
                                <w:szCs w:val="28"/>
                              </w:rPr>
                            </w:pPr>
                          </w:p>
                          <w:p w14:paraId="26CE2E26">
                            <w:pPr>
                              <w:pStyle w:val="41"/>
                              <w:spacing w:line="240" w:lineRule="auto"/>
                              <w:rPr>
                                <w:rFonts w:ascii="黑体" w:hAnsi="黑体" w:eastAsia="黑体"/>
                                <w:sz w:val="28"/>
                                <w:szCs w:val="28"/>
                              </w:rPr>
                            </w:pPr>
                            <w:r>
                              <w:rPr>
                                <w:rFonts w:hint="eastAsia" w:ascii="黑体" w:hAnsi="黑体" w:eastAsia="黑体"/>
                                <w:sz w:val="28"/>
                                <w:szCs w:val="28"/>
                                <w:highlight w:val="lightGray"/>
                              </w:rPr>
                              <w:t>在提交反馈意见时，请将您知道的专利连同支持性文件一并附上</w:t>
                            </w:r>
                          </w:p>
                          <w:p w14:paraId="62E15EC5">
                            <w:pPr>
                              <w:pStyle w:val="41"/>
                            </w:pPr>
                          </w:p>
                          <w:p w14:paraId="7D47CCEA">
                            <w:pPr>
                              <w:pStyle w:val="41"/>
                            </w:pPr>
                          </w:p>
                          <w:p w14:paraId="50559F47">
                            <w:pPr>
                              <w:pStyle w:val="41"/>
                            </w:pPr>
                          </w:p>
                        </w:txbxContent>
                      </wps:txbx>
                      <wps:bodyPr wrap="square" lIns="0" tIns="0" rIns="0" bIns="0" upright="1">
                        <a:noAutofit/>
                      </wps:bodyPr>
                    </wps:wsp>
                  </a:graphicData>
                </a:graphic>
              </wp:anchor>
            </w:drawing>
          </mc:Choice>
          <mc:Fallback>
            <w:pict>
              <v:shape id="fmFrame4" o:spid="_x0000_s1026" o:spt="202" type="#_x0000_t202" style="position:absolute;left:0pt;margin-left:-0.1pt;margin-top:286.1pt;height:384.75pt;width:470pt;mso-position-horizontal-relative:margin;mso-position-vertical-relative:margin;z-index:251663360;mso-width-relative:page;mso-height-relative:page;" fillcolor="#FFFFFF" filled="t" stroked="f" coordsize="21600,21600" o:allowincell="f" o:gfxdata="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Xdf9jZAAAACgEAAA8AAAAAAAAAAQAg&#10;AAAAIgAAAGRycy9kb3ducmV2LnhtbFBLAQIUABQAAAAIAIdO4kCksgUm1AEAAMEDAAAOAAAAAAAA&#10;AAEAIAAAACgBAABkcnMvZTJvRG9jLnhtbFBLBQYAAAAABgAGAFkBAABuBQAAAAA=&#10;">
                <v:fill on="t" focussize="0,0"/>
                <v:stroke on="f"/>
                <v:imagedata o:title=""/>
                <o:lock v:ext="edit" aspectratio="f"/>
                <v:textbox inset="0mm,0mm,0mm,0mm">
                  <w:txbxContent>
                    <w:p w14:paraId="19B6BD7A">
                      <w:pPr>
                        <w:pStyle w:val="40"/>
                      </w:pPr>
                      <w:r>
                        <w:rPr>
                          <w:rFonts w:hint="eastAsia"/>
                        </w:rPr>
                        <w:t>三轮</w:t>
                      </w:r>
                      <w:r>
                        <w:t>汽车</w:t>
                      </w:r>
                      <w:r>
                        <w:rPr>
                          <w:rFonts w:hint="eastAsia"/>
                        </w:rPr>
                        <w:t xml:space="preserve">  安全技术</w:t>
                      </w:r>
                      <w:r>
                        <w:t>规范</w:t>
                      </w:r>
                    </w:p>
                    <w:p w14:paraId="40403BC7">
                      <w:pPr>
                        <w:pStyle w:val="43"/>
                        <w:spacing w:before="0"/>
                        <w:rPr>
                          <w:b/>
                          <w:sz w:val="32"/>
                          <w:szCs w:val="32"/>
                        </w:rPr>
                      </w:pPr>
                    </w:p>
                    <w:p w14:paraId="4CA23B31">
                      <w:pPr>
                        <w:pStyle w:val="43"/>
                        <w:spacing w:before="0"/>
                        <w:rPr>
                          <w:b/>
                          <w:sz w:val="32"/>
                          <w:szCs w:val="32"/>
                        </w:rPr>
                      </w:pPr>
                    </w:p>
                    <w:p w14:paraId="591AD3FB">
                      <w:pPr>
                        <w:pStyle w:val="43"/>
                        <w:spacing w:before="0"/>
                        <w:rPr>
                          <w:b/>
                          <w:sz w:val="32"/>
                          <w:szCs w:val="32"/>
                        </w:rPr>
                      </w:pPr>
                      <w:r>
                        <w:rPr>
                          <w:b/>
                          <w:sz w:val="32"/>
                          <w:szCs w:val="32"/>
                        </w:rPr>
                        <w:t>Tri-wheel vehicles —Safety technical specification</w:t>
                      </w:r>
                    </w:p>
                    <w:p w14:paraId="0057F0B9">
                      <w:pPr>
                        <w:pStyle w:val="44"/>
                      </w:pPr>
                    </w:p>
                    <w:p w14:paraId="7F40872C">
                      <w:pPr>
                        <w:pStyle w:val="44"/>
                      </w:pPr>
                    </w:p>
                    <w:p w14:paraId="3AF66B1A">
                      <w:pPr>
                        <w:pStyle w:val="42"/>
                        <w:rPr>
                          <w:b/>
                          <w:bCs/>
                          <w:sz w:val="28"/>
                          <w:szCs w:val="28"/>
                        </w:rPr>
                      </w:pPr>
                      <w:r>
                        <w:rPr>
                          <w:rFonts w:hint="eastAsia"/>
                          <w:b/>
                          <w:bCs/>
                          <w:sz w:val="28"/>
                          <w:szCs w:val="28"/>
                        </w:rPr>
                        <w:t>（征求意见稿）</w:t>
                      </w:r>
                    </w:p>
                    <w:p w14:paraId="63B4D552">
                      <w:pPr>
                        <w:pStyle w:val="42"/>
                        <w:rPr>
                          <w:b/>
                          <w:bCs/>
                          <w:sz w:val="28"/>
                          <w:szCs w:val="28"/>
                        </w:rPr>
                      </w:pPr>
                    </w:p>
                    <w:p w14:paraId="26CE2E26">
                      <w:pPr>
                        <w:pStyle w:val="41"/>
                        <w:spacing w:line="240" w:lineRule="auto"/>
                        <w:rPr>
                          <w:rFonts w:ascii="黑体" w:hAnsi="黑体" w:eastAsia="黑体"/>
                          <w:sz w:val="28"/>
                          <w:szCs w:val="28"/>
                        </w:rPr>
                      </w:pPr>
                      <w:r>
                        <w:rPr>
                          <w:rFonts w:hint="eastAsia" w:ascii="黑体" w:hAnsi="黑体" w:eastAsia="黑体"/>
                          <w:sz w:val="28"/>
                          <w:szCs w:val="28"/>
                          <w:highlight w:val="lightGray"/>
                        </w:rPr>
                        <w:t>在提交反馈意见时，请将您知道的专利连同支持性文件一并附上</w:t>
                      </w:r>
                    </w:p>
                    <w:p w14:paraId="62E15EC5">
                      <w:pPr>
                        <w:pStyle w:val="41"/>
                      </w:pPr>
                    </w:p>
                    <w:p w14:paraId="7D47CCEA">
                      <w:pPr>
                        <w:pStyle w:val="41"/>
                      </w:pPr>
                    </w:p>
                    <w:p w14:paraId="50559F47">
                      <w:pPr>
                        <w:pStyle w:val="41"/>
                      </w:pPr>
                    </w:p>
                  </w:txbxContent>
                </v:textbox>
                <w10:anchorlock/>
              </v:shape>
            </w:pict>
          </mc:Fallback>
        </mc:AlternateContent>
      </w:r>
      <w:r>
        <mc:AlternateContent>
          <mc:Choice Requires="wps">
            <w:drawing>
              <wp:anchor distT="0" distB="0" distL="114300" distR="114300" simplePos="0" relativeHeight="251662336" behindDoc="0" locked="1" layoutInCell="0" allowOverlap="1">
                <wp:simplePos x="0" y="0"/>
                <wp:positionH relativeFrom="margin">
                  <wp:posOffset>0</wp:posOffset>
                </wp:positionH>
                <wp:positionV relativeFrom="margin">
                  <wp:posOffset>1401445</wp:posOffset>
                </wp:positionV>
                <wp:extent cx="6018530" cy="860425"/>
                <wp:effectExtent l="0" t="0" r="1270" b="3175"/>
                <wp:wrapNone/>
                <wp:docPr id="4" name="fmFrame3"/>
                <wp:cNvGraphicFramePr/>
                <a:graphic xmlns:a="http://schemas.openxmlformats.org/drawingml/2006/main">
                  <a:graphicData uri="http://schemas.microsoft.com/office/word/2010/wordprocessingShape">
                    <wps:wsp>
                      <wps:cNvSpPr txBox="1"/>
                      <wps:spPr>
                        <a:xfrm>
                          <a:off x="0" y="0"/>
                          <a:ext cx="6018530" cy="860425"/>
                        </a:xfrm>
                        <a:prstGeom prst="rect">
                          <a:avLst/>
                        </a:prstGeom>
                        <a:solidFill>
                          <a:srgbClr val="FFFFFF"/>
                        </a:solidFill>
                        <a:ln>
                          <a:noFill/>
                        </a:ln>
                      </wps:spPr>
                      <wps:txbx>
                        <w:txbxContent>
                          <w:p w14:paraId="47206AA7">
                            <w:pPr>
                              <w:pStyle w:val="38"/>
                              <w:spacing w:line="360" w:lineRule="exact"/>
                              <w:rPr>
                                <w:b/>
                              </w:rPr>
                            </w:pPr>
                            <w:r>
                              <w:rPr>
                                <w:b/>
                              </w:rPr>
                              <w:t xml:space="preserve">GB </w:t>
                            </w:r>
                            <w:r>
                              <w:rPr>
                                <w:rFonts w:hint="eastAsia" w:ascii="宋体" w:hAnsi="宋体"/>
                                <w:b/>
                              </w:rPr>
                              <w:t>18320</w:t>
                            </w:r>
                            <w:r>
                              <w:rPr>
                                <w:b/>
                              </w:rPr>
                              <w:t>—20</w:t>
                            </w:r>
                            <w:r>
                              <w:rPr>
                                <w:rFonts w:hint="eastAsia"/>
                                <w:b/>
                              </w:rPr>
                              <w:t>2</w:t>
                            </w:r>
                            <w:r>
                              <w:rPr>
                                <w:rFonts w:ascii="宋体" w:hAnsi="宋体"/>
                                <w:b/>
                              </w:rPr>
                              <w:t>×</w:t>
                            </w:r>
                          </w:p>
                          <w:p w14:paraId="50202F2D">
                            <w:pPr>
                              <w:pStyle w:val="39"/>
                              <w:spacing w:line="360" w:lineRule="exact"/>
                            </w:pPr>
                            <w:r>
                              <w:rPr>
                                <w:rFonts w:hint="eastAsia"/>
                                <w:b/>
                              </w:rPr>
                              <w:t>代替GB 18320－200</w:t>
                            </w:r>
                            <w:r>
                              <w:rPr>
                                <w:b/>
                              </w:rPr>
                              <w:t>8</w:t>
                            </w:r>
                            <w:r>
                              <w:rPr>
                                <w:rFonts w:hint="eastAsia"/>
                                <w:b/>
                              </w:rPr>
                              <w:t>、</w:t>
                            </w:r>
                            <w:r>
                              <w:rPr>
                                <w:b/>
                              </w:rPr>
                              <w:t>GB</w:t>
                            </w:r>
                            <w:r>
                              <w:rPr>
                                <w:rFonts w:hint="eastAsia"/>
                                <w:b/>
                              </w:rPr>
                              <w:t xml:space="preserve"> </w:t>
                            </w:r>
                            <w:r>
                              <w:rPr>
                                <w:b/>
                              </w:rPr>
                              <w:t>24943-2010</w:t>
                            </w:r>
                          </w:p>
                        </w:txbxContent>
                      </wps:txbx>
                      <wps:bodyPr wrap="square" lIns="0" tIns="0" rIns="0" bIns="0" upright="1"/>
                    </wps:wsp>
                  </a:graphicData>
                </a:graphic>
              </wp:anchor>
            </w:drawing>
          </mc:Choice>
          <mc:Fallback>
            <w:pict>
              <v:shape id="fmFrame3" o:spid="_x0000_s1026" o:spt="202" type="#_x0000_t202" style="position:absolute;left:0pt;margin-left:0pt;margin-top:110.35pt;height:67.75pt;width:473.9pt;mso-position-horizontal-relative:margin;mso-position-vertical-relative:margin;z-index:251662336;mso-width-relative:page;mso-height-relative:page;" fillcolor="#FFFFFF" filled="t" stroked="f" coordsize="21600,21600" o:allowincell="f" o:gfxdata="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8DClh2AAAAAgBAAAPAAAAAAAAAAEAIAAAACIAAABkcnMvZG93&#10;bnJldi54bWxQSwECFAAUAAAACACHTuJA3+xgfccBAACmAwAADgAAAAAAAAABACAAAAAnAQAAZHJz&#10;L2Uyb0RvYy54bWxQSwUGAAAAAAYABgBZAQAAYAUAAAAA&#10;">
                <v:fill on="t" focussize="0,0"/>
                <v:stroke on="f"/>
                <v:imagedata o:title=""/>
                <o:lock v:ext="edit" aspectratio="f"/>
                <v:textbox inset="0mm,0mm,0mm,0mm">
                  <w:txbxContent>
                    <w:p w14:paraId="47206AA7">
                      <w:pPr>
                        <w:pStyle w:val="38"/>
                        <w:spacing w:line="360" w:lineRule="exact"/>
                        <w:rPr>
                          <w:b/>
                        </w:rPr>
                      </w:pPr>
                      <w:r>
                        <w:rPr>
                          <w:b/>
                        </w:rPr>
                        <w:t xml:space="preserve">GB </w:t>
                      </w:r>
                      <w:r>
                        <w:rPr>
                          <w:rFonts w:hint="eastAsia" w:ascii="宋体" w:hAnsi="宋体"/>
                          <w:b/>
                        </w:rPr>
                        <w:t>18320</w:t>
                      </w:r>
                      <w:r>
                        <w:rPr>
                          <w:b/>
                        </w:rPr>
                        <w:t>—20</w:t>
                      </w:r>
                      <w:r>
                        <w:rPr>
                          <w:rFonts w:hint="eastAsia"/>
                          <w:b/>
                        </w:rPr>
                        <w:t>2</w:t>
                      </w:r>
                      <w:r>
                        <w:rPr>
                          <w:rFonts w:ascii="宋体" w:hAnsi="宋体"/>
                          <w:b/>
                        </w:rPr>
                        <w:t>×</w:t>
                      </w:r>
                    </w:p>
                    <w:p w14:paraId="50202F2D">
                      <w:pPr>
                        <w:pStyle w:val="39"/>
                        <w:spacing w:line="360" w:lineRule="exact"/>
                      </w:pPr>
                      <w:r>
                        <w:rPr>
                          <w:rFonts w:hint="eastAsia"/>
                          <w:b/>
                        </w:rPr>
                        <w:t>代替GB 18320－200</w:t>
                      </w:r>
                      <w:r>
                        <w:rPr>
                          <w:b/>
                        </w:rPr>
                        <w:t>8</w:t>
                      </w:r>
                      <w:r>
                        <w:rPr>
                          <w:rFonts w:hint="eastAsia"/>
                          <w:b/>
                        </w:rPr>
                        <w:t>、</w:t>
                      </w:r>
                      <w:r>
                        <w:rPr>
                          <w:b/>
                        </w:rPr>
                        <w:t>GB</w:t>
                      </w:r>
                      <w:r>
                        <w:rPr>
                          <w:rFonts w:hint="eastAsia"/>
                          <w:b/>
                        </w:rPr>
                        <w:t xml:space="preserve"> </w:t>
                      </w:r>
                      <w:r>
                        <w:rPr>
                          <w:b/>
                        </w:rPr>
                        <w:t>24943-2010</w:t>
                      </w:r>
                    </w:p>
                  </w:txbxContent>
                </v:textbox>
                <w10:anchorlock/>
              </v:shape>
            </w:pict>
          </mc:Fallback>
        </mc:AlternateContent>
      </w:r>
      <w:r>
        <w:drawing>
          <wp:anchor distT="0" distB="0" distL="114300" distR="114300" simplePos="0" relativeHeight="251661312" behindDoc="0" locked="1" layoutInCell="0" allowOverlap="1">
            <wp:simplePos x="0" y="0"/>
            <wp:positionH relativeFrom="margin">
              <wp:posOffset>4284345</wp:posOffset>
            </wp:positionH>
            <wp:positionV relativeFrom="margin">
              <wp:posOffset>107315</wp:posOffset>
            </wp:positionV>
            <wp:extent cx="1403350" cy="720090"/>
            <wp:effectExtent l="0" t="0" r="6350" b="3810"/>
            <wp:wrapNone/>
            <wp:docPr id="3" name="HBPicture" descr="GB"/>
            <wp:cNvGraphicFramePr/>
            <a:graphic xmlns:a="http://schemas.openxmlformats.org/drawingml/2006/main">
              <a:graphicData uri="http://schemas.openxmlformats.org/drawingml/2006/picture">
                <pic:pic xmlns:pic="http://schemas.openxmlformats.org/drawingml/2006/picture">
                  <pic:nvPicPr>
                    <pic:cNvPr id="3" name="HBPicture" descr="GB"/>
                    <pic:cNvPicPr/>
                  </pic:nvPicPr>
                  <pic:blipFill>
                    <a:blip r:embed="rId15"/>
                    <a:stretch>
                      <a:fillRect/>
                    </a:stretch>
                  </pic:blipFill>
                  <pic:spPr>
                    <a:xfrm>
                      <a:off x="0" y="0"/>
                      <a:ext cx="1403350" cy="720090"/>
                    </a:xfrm>
                    <a:prstGeom prst="rect">
                      <a:avLst/>
                    </a:prstGeom>
                    <a:noFill/>
                    <a:ln>
                      <a:noFill/>
                    </a:ln>
                  </pic:spPr>
                </pic:pic>
              </a:graphicData>
            </a:graphic>
          </wp:anchor>
        </w:drawing>
      </w:r>
      <w:r>
        <mc:AlternateContent>
          <mc:Choice Requires="wps">
            <w:drawing>
              <wp:anchor distT="0" distB="0" distL="114300" distR="114300" simplePos="0" relativeHeight="251660288" behindDoc="0" locked="1" layoutInCell="0" allowOverlap="1">
                <wp:simplePos x="0" y="0"/>
                <wp:positionH relativeFrom="margin">
                  <wp:posOffset>0</wp:posOffset>
                </wp:positionH>
                <wp:positionV relativeFrom="margin">
                  <wp:posOffset>1010920</wp:posOffset>
                </wp:positionV>
                <wp:extent cx="6120130" cy="391160"/>
                <wp:effectExtent l="0" t="0" r="1270" b="2540"/>
                <wp:wrapNone/>
                <wp:docPr id="2" name="fmFrame2"/>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14:paraId="0CA5024D">
                            <w:pPr>
                              <w:pStyle w:val="23"/>
                            </w:pPr>
                            <w:r>
                              <w:rPr>
                                <w:rFonts w:hint="eastAsia"/>
                              </w:rPr>
                              <w:t>中华人民共和国国家标准</w:t>
                            </w:r>
                          </w:p>
                        </w:txbxContent>
                      </wps:txbx>
                      <wps:bodyPr wrap="square" lIns="0" tIns="0" rIns="0" bIns="0" upright="1"/>
                    </wps:wsp>
                  </a:graphicData>
                </a:graphic>
              </wp:anchor>
            </w:drawing>
          </mc:Choice>
          <mc:Fallback>
            <w:pict>
              <v:shape id="fmFrame2" o:spid="_x0000_s1026" o:spt="202" type="#_x0000_t202" style="position:absolute;left:0pt;margin-left:0pt;margin-top:79.6pt;height:30.8pt;width:481.9pt;mso-position-horizontal-relative:margin;mso-position-vertical-relative:margin;z-index:251660288;mso-width-relative:page;mso-height-relative:page;" fillcolor="#FFFFFF" filled="t" stroked="f" coordsize="21600,21600" o:allowincell="f"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GDkcF1wAAAAgBAAAPAAAAAAAAAAEAIAAAACIAAABkcnMvZG93&#10;bnJldi54bWxQSwECFAAUAAAACACHTuJA7DsoP8gBAACmAwAADgAAAAAAAAABACAAAAAmAQAAZHJz&#10;L2Uyb0RvYy54bWxQSwUGAAAAAAYABgBZAQAAYAUAAAAA&#10;">
                <v:fill on="t" focussize="0,0"/>
                <v:stroke on="f"/>
                <v:imagedata o:title=""/>
                <o:lock v:ext="edit" aspectratio="f"/>
                <v:textbox inset="0mm,0mm,0mm,0mm">
                  <w:txbxContent>
                    <w:p w14:paraId="0CA5024D">
                      <w:pPr>
                        <w:pStyle w:val="23"/>
                      </w:pPr>
                      <w:r>
                        <w:rPr>
                          <w:rFonts w:hint="eastAsia"/>
                        </w:rPr>
                        <w:t>中华人民共和国国家标准</w:t>
                      </w:r>
                    </w:p>
                  </w:txbxContent>
                </v:textbox>
                <w10:anchorlock/>
              </v:shape>
            </w:pict>
          </mc:Fallback>
        </mc:AlternateContent>
      </w:r>
      <w:r>
        <mc:AlternateContent>
          <mc:Choice Requires="wps">
            <w:drawing>
              <wp:anchor distT="0" distB="0" distL="114300" distR="114300" simplePos="0" relativeHeight="251659264" behindDoc="0" locked="1" layoutInCell="0" allowOverlap="1">
                <wp:simplePos x="0" y="0"/>
                <wp:positionH relativeFrom="margin">
                  <wp:posOffset>0</wp:posOffset>
                </wp:positionH>
                <wp:positionV relativeFrom="margin">
                  <wp:posOffset>0</wp:posOffset>
                </wp:positionV>
                <wp:extent cx="2540000" cy="657860"/>
                <wp:effectExtent l="0" t="0" r="0" b="2540"/>
                <wp:wrapNone/>
                <wp:docPr id="1"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a:noFill/>
                        </a:ln>
                      </wps:spPr>
                      <wps:txbx>
                        <w:txbxContent>
                          <w:p w14:paraId="11C6A799">
                            <w:pPr>
                              <w:pStyle w:val="50"/>
                              <w:rPr>
                                <w:b/>
                              </w:rPr>
                            </w:pPr>
                            <w:r>
                              <w:rPr>
                                <w:b/>
                              </w:rPr>
                              <w:t xml:space="preserve">ICS </w:t>
                            </w:r>
                            <w:r>
                              <w:rPr>
                                <w:rFonts w:hint="eastAsia"/>
                                <w:b/>
                              </w:rPr>
                              <w:t>65</w:t>
                            </w:r>
                            <w:r>
                              <w:rPr>
                                <w:b/>
                              </w:rPr>
                              <w:t>.</w:t>
                            </w:r>
                            <w:r>
                              <w:rPr>
                                <w:rFonts w:hint="eastAsia"/>
                                <w:b/>
                              </w:rPr>
                              <w:t>060.01</w:t>
                            </w:r>
                          </w:p>
                          <w:p w14:paraId="728BDB1E">
                            <w:pPr>
                              <w:pStyle w:val="50"/>
                            </w:pPr>
                            <w:r>
                              <w:rPr>
                                <w:rFonts w:hint="eastAsia"/>
                                <w:b/>
                              </w:rPr>
                              <w:t>T</w:t>
                            </w:r>
                            <w:r>
                              <w:rPr>
                                <w:b/>
                              </w:rPr>
                              <w:t xml:space="preserve"> </w:t>
                            </w:r>
                            <w:r>
                              <w:rPr>
                                <w:rFonts w:hint="eastAsia"/>
                                <w:b/>
                              </w:rPr>
                              <w:t>54</w:t>
                            </w:r>
                          </w:p>
                        </w:txbxContent>
                      </wps:txbx>
                      <wps:bodyPr wrap="square" lIns="0" tIns="0" rIns="0" bIns="0" upright="1"/>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allowincell="f"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Xsy+DTAAAABQEAAA8AAAAAAAAAAQAgAAAAIgAAAGRycy9kb3ducmV2&#10;LnhtbFBLAQIUABQAAAAIAIdO4kDZwOAJyAEAAKYDAAAOAAAAAAAAAAEAIAAAACIBAABkcnMvZTJv&#10;RG9jLnhtbFBLBQYAAAAABgAGAFkBAABcBQAAAAA=&#10;">
                <v:fill on="t" focussize="0,0"/>
                <v:stroke on="f"/>
                <v:imagedata o:title=""/>
                <o:lock v:ext="edit" aspectratio="f"/>
                <v:textbox inset="0mm,0mm,0mm,0mm">
                  <w:txbxContent>
                    <w:p w14:paraId="11C6A799">
                      <w:pPr>
                        <w:pStyle w:val="50"/>
                        <w:rPr>
                          <w:b/>
                        </w:rPr>
                      </w:pPr>
                      <w:r>
                        <w:rPr>
                          <w:b/>
                        </w:rPr>
                        <w:t xml:space="preserve">ICS </w:t>
                      </w:r>
                      <w:r>
                        <w:rPr>
                          <w:rFonts w:hint="eastAsia"/>
                          <w:b/>
                        </w:rPr>
                        <w:t>65</w:t>
                      </w:r>
                      <w:r>
                        <w:rPr>
                          <w:b/>
                        </w:rPr>
                        <w:t>.</w:t>
                      </w:r>
                      <w:r>
                        <w:rPr>
                          <w:rFonts w:hint="eastAsia"/>
                          <w:b/>
                        </w:rPr>
                        <w:t>060.01</w:t>
                      </w:r>
                    </w:p>
                    <w:p w14:paraId="728BDB1E">
                      <w:pPr>
                        <w:pStyle w:val="50"/>
                      </w:pPr>
                      <w:r>
                        <w:rPr>
                          <w:rFonts w:hint="eastAsia"/>
                          <w:b/>
                        </w:rPr>
                        <w:t>T</w:t>
                      </w:r>
                      <w:r>
                        <w:rPr>
                          <w:b/>
                        </w:rPr>
                        <w:t xml:space="preserve"> </w:t>
                      </w:r>
                      <w:r>
                        <w:rPr>
                          <w:rFonts w:hint="eastAsia"/>
                          <w:b/>
                        </w:rPr>
                        <w:t>54</w:t>
                      </w:r>
                    </w:p>
                  </w:txbxContent>
                </v:textbox>
                <w10:anchorlock/>
              </v:shape>
            </w:pict>
          </mc:Fallback>
        </mc:AlternateContent>
      </w:r>
    </w:p>
    <w:bookmarkEnd w:id="0"/>
    <w:p w14:paraId="62685A1B">
      <w:pPr>
        <w:pStyle w:val="29"/>
        <w:numPr>
          <w:ilvl w:val="0"/>
          <w:numId w:val="0"/>
        </w:numPr>
        <w:rPr>
          <w:rFonts w:ascii="Times New Roman"/>
        </w:rPr>
      </w:pPr>
      <w:bookmarkStart w:id="2" w:name="_Toc12159188"/>
      <w:r>
        <w:rPr>
          <w:rFonts w:hint="eastAsia" w:ascii="Times New Roman"/>
        </w:rPr>
        <w:t>目次</w:t>
      </w:r>
    </w:p>
    <w:p w14:paraId="4831FFF4">
      <w:pPr>
        <w:pStyle w:val="6"/>
        <w:spacing w:line="400" w:lineRule="exact"/>
        <w:jc w:val="left"/>
        <w:rPr>
          <w:rFonts w:hAnsi="宋体" w:cs="宋体"/>
          <w:color w:val="000000"/>
          <w:szCs w:val="21"/>
        </w:rPr>
      </w:pPr>
      <w:r>
        <w:rPr>
          <w:rFonts w:hint="eastAsia" w:hAnsi="宋体"/>
          <w:color w:val="000000"/>
          <w:szCs w:val="21"/>
        </w:rPr>
        <w:t xml:space="preserve">前言 …………………………………………………………………………………………………………  </w:t>
      </w:r>
      <w:r>
        <w:rPr>
          <w:rFonts w:hint="eastAsia" w:hAnsi="宋体" w:cs="宋体"/>
          <w:color w:val="000000"/>
          <w:szCs w:val="21"/>
        </w:rPr>
        <w:t>Ⅱ</w:t>
      </w:r>
    </w:p>
    <w:p w14:paraId="2F06EA73">
      <w:pPr>
        <w:pStyle w:val="6"/>
        <w:numPr>
          <w:ilvl w:val="0"/>
          <w:numId w:val="4"/>
        </w:numPr>
        <w:spacing w:line="400" w:lineRule="exact"/>
        <w:ind w:left="0" w:firstLine="0"/>
        <w:jc w:val="left"/>
        <w:rPr>
          <w:rFonts w:hAnsi="宋体"/>
          <w:color w:val="000000"/>
          <w:szCs w:val="21"/>
        </w:rPr>
      </w:pPr>
      <w:r>
        <w:rPr>
          <w:rFonts w:hint="eastAsia" w:hAnsi="宋体"/>
          <w:color w:val="000000"/>
          <w:szCs w:val="21"/>
        </w:rPr>
        <w:t>范围 ……………………………………………………………………………………………………… 1</w:t>
      </w:r>
    </w:p>
    <w:p w14:paraId="65788594">
      <w:pPr>
        <w:pStyle w:val="6"/>
        <w:numPr>
          <w:ilvl w:val="0"/>
          <w:numId w:val="4"/>
        </w:numPr>
        <w:spacing w:line="400" w:lineRule="exact"/>
        <w:ind w:left="0" w:firstLine="0"/>
        <w:jc w:val="left"/>
        <w:rPr>
          <w:rFonts w:hAnsi="宋体"/>
          <w:color w:val="000000"/>
          <w:szCs w:val="21"/>
        </w:rPr>
      </w:pPr>
      <w:r>
        <w:rPr>
          <w:rFonts w:hint="eastAsia" w:hAnsi="宋体"/>
          <w:color w:val="000000"/>
          <w:szCs w:val="21"/>
        </w:rPr>
        <w:t>规范性引用文件  …………………………………………………………………………………………1</w:t>
      </w:r>
    </w:p>
    <w:p w14:paraId="080F14A3">
      <w:pPr>
        <w:pStyle w:val="6"/>
        <w:numPr>
          <w:ilvl w:val="0"/>
          <w:numId w:val="4"/>
        </w:numPr>
        <w:spacing w:line="400" w:lineRule="exact"/>
        <w:ind w:left="0" w:firstLine="0"/>
        <w:jc w:val="left"/>
        <w:rPr>
          <w:rFonts w:hAnsi="宋体"/>
          <w:color w:val="000000"/>
          <w:szCs w:val="21"/>
        </w:rPr>
      </w:pPr>
      <w:r>
        <w:rPr>
          <w:rFonts w:hAnsi="宋体"/>
          <w:szCs w:val="21"/>
        </w:rPr>
        <w:t>术语和定义</w:t>
      </w:r>
      <w:r>
        <w:rPr>
          <w:rFonts w:hint="eastAsia" w:hAnsi="宋体"/>
          <w:szCs w:val="21"/>
        </w:rPr>
        <w:t xml:space="preserve">      </w:t>
      </w:r>
      <w:r>
        <w:rPr>
          <w:rFonts w:hint="eastAsia" w:hAnsi="宋体"/>
          <w:color w:val="000000"/>
          <w:szCs w:val="21"/>
        </w:rPr>
        <w:t>…………………………………………………………………………………………2</w:t>
      </w:r>
    </w:p>
    <w:p w14:paraId="373F1C42">
      <w:pPr>
        <w:pStyle w:val="6"/>
        <w:numPr>
          <w:ilvl w:val="0"/>
          <w:numId w:val="4"/>
        </w:numPr>
        <w:spacing w:line="400" w:lineRule="exact"/>
        <w:ind w:left="0" w:firstLine="0"/>
        <w:jc w:val="left"/>
        <w:rPr>
          <w:rFonts w:hAnsi="宋体"/>
          <w:color w:val="000000"/>
          <w:szCs w:val="21"/>
        </w:rPr>
      </w:pPr>
      <w:r>
        <w:rPr>
          <w:rFonts w:hAnsi="黑体"/>
        </w:rPr>
        <w:t>安全要求</w:t>
      </w:r>
      <w:r>
        <w:rPr>
          <w:rFonts w:hint="eastAsia" w:hAnsi="宋体"/>
          <w:color w:val="000000"/>
          <w:szCs w:val="21"/>
        </w:rPr>
        <w:t xml:space="preserve">   ……………………………………………………………………………………………… 2</w:t>
      </w:r>
    </w:p>
    <w:p w14:paraId="1D2384DA">
      <w:pPr>
        <w:pStyle w:val="6"/>
        <w:numPr>
          <w:ilvl w:val="0"/>
          <w:numId w:val="4"/>
        </w:numPr>
        <w:spacing w:line="400" w:lineRule="exact"/>
        <w:ind w:left="0" w:firstLine="0"/>
        <w:jc w:val="left"/>
        <w:rPr>
          <w:rFonts w:hAnsi="宋体"/>
          <w:color w:val="000000"/>
          <w:szCs w:val="21"/>
        </w:rPr>
      </w:pPr>
      <w:r>
        <w:rPr>
          <w:rFonts w:hint="eastAsia" w:hAnsi="宋体"/>
          <w:color w:val="000000"/>
          <w:szCs w:val="21"/>
        </w:rPr>
        <w:t>使用信息 ………………………………………………………………………………………………… 5</w:t>
      </w:r>
    </w:p>
    <w:p w14:paraId="5EB88346">
      <w:pPr>
        <w:pStyle w:val="6"/>
        <w:numPr>
          <w:ilvl w:val="0"/>
          <w:numId w:val="4"/>
        </w:numPr>
        <w:spacing w:line="400" w:lineRule="exact"/>
        <w:ind w:left="0" w:firstLine="0"/>
        <w:jc w:val="left"/>
        <w:rPr>
          <w:rFonts w:hAnsi="宋体"/>
          <w:color w:val="000000"/>
          <w:szCs w:val="21"/>
        </w:rPr>
      </w:pPr>
      <w:r>
        <w:rPr>
          <w:rFonts w:hAnsi="黑体"/>
        </w:rPr>
        <w:t>安全要求的判定</w:t>
      </w:r>
      <w:r>
        <w:rPr>
          <w:rFonts w:hint="eastAsia" w:hAnsi="宋体"/>
          <w:color w:val="000000"/>
          <w:szCs w:val="21"/>
        </w:rPr>
        <w:t xml:space="preserve">   ………………………………………………………………………………………17</w:t>
      </w:r>
    </w:p>
    <w:p w14:paraId="39BA4077">
      <w:pPr>
        <w:pStyle w:val="6"/>
        <w:numPr>
          <w:ilvl w:val="0"/>
          <w:numId w:val="4"/>
        </w:numPr>
        <w:spacing w:line="400" w:lineRule="exact"/>
        <w:ind w:left="0" w:firstLine="0"/>
        <w:jc w:val="left"/>
        <w:rPr>
          <w:rFonts w:hAnsi="宋体"/>
          <w:color w:val="000000"/>
          <w:szCs w:val="21"/>
        </w:rPr>
      </w:pPr>
      <w:r>
        <w:rPr>
          <w:rFonts w:hAnsi="黑体"/>
        </w:rPr>
        <w:t>附录</w:t>
      </w:r>
      <w:r>
        <w:rPr>
          <w:rFonts w:hint="eastAsia" w:hAnsi="黑体"/>
        </w:rPr>
        <w:t>A（规范性）</w:t>
      </w:r>
      <w:r>
        <w:rPr>
          <w:rFonts w:hAnsi="黑体"/>
        </w:rPr>
        <w:t>三轮汽车用安全标志</w:t>
      </w:r>
      <w:r>
        <w:rPr>
          <w:rFonts w:hint="eastAsia" w:hAnsi="宋体"/>
          <w:color w:val="000000"/>
          <w:szCs w:val="21"/>
        </w:rPr>
        <w:t xml:space="preserve">  ………………………………………………………………25</w:t>
      </w:r>
    </w:p>
    <w:p w14:paraId="003EE748">
      <w:pPr>
        <w:pStyle w:val="6"/>
        <w:numPr>
          <w:ilvl w:val="0"/>
          <w:numId w:val="4"/>
        </w:numPr>
        <w:spacing w:line="400" w:lineRule="exact"/>
        <w:ind w:left="0" w:firstLine="0"/>
        <w:jc w:val="left"/>
        <w:rPr>
          <w:rFonts w:hAnsi="宋体"/>
          <w:color w:val="000000"/>
          <w:szCs w:val="21"/>
        </w:rPr>
      </w:pPr>
      <w:r>
        <w:rPr>
          <w:rFonts w:hAnsi="黑体"/>
        </w:rPr>
        <w:t>附录</w:t>
      </w:r>
      <w:r>
        <w:rPr>
          <w:rFonts w:hint="eastAsia" w:hAnsi="黑体"/>
        </w:rPr>
        <w:t>B（规范性）气压系统制动响应时间测量方法</w:t>
      </w:r>
      <w:r>
        <w:rPr>
          <w:rFonts w:hint="eastAsia" w:hAnsi="宋体"/>
          <w:color w:val="000000"/>
          <w:szCs w:val="21"/>
        </w:rPr>
        <w:t>……………………………………………………31</w:t>
      </w:r>
    </w:p>
    <w:p w14:paraId="6B04651A">
      <w:pPr>
        <w:pStyle w:val="11"/>
        <w:rPr>
          <w:b/>
          <w:bCs/>
        </w:rPr>
      </w:pPr>
    </w:p>
    <w:p w14:paraId="65D944E7">
      <w:pPr>
        <w:widowControl/>
        <w:jc w:val="left"/>
      </w:pPr>
    </w:p>
    <w:p w14:paraId="6C9DC5FE">
      <w:pPr>
        <w:widowControl/>
        <w:jc w:val="left"/>
        <w:rPr>
          <w:rFonts w:eastAsia="黑体"/>
          <w:kern w:val="0"/>
          <w:sz w:val="32"/>
          <w:szCs w:val="20"/>
        </w:rPr>
      </w:pPr>
      <w:r>
        <w:br w:type="page"/>
      </w:r>
    </w:p>
    <w:bookmarkEnd w:id="2"/>
    <w:p w14:paraId="2FBDF665">
      <w:pPr>
        <w:pStyle w:val="29"/>
        <w:numPr>
          <w:ilvl w:val="0"/>
          <w:numId w:val="0"/>
        </w:numPr>
        <w:rPr>
          <w:rFonts w:ascii="Times New Roman"/>
        </w:rPr>
      </w:pPr>
      <w:r>
        <w:rPr>
          <w:rFonts w:ascii="Times New Roman"/>
        </w:rPr>
        <w:t>前    言</w:t>
      </w:r>
    </w:p>
    <w:p w14:paraId="1A30259E">
      <w:pPr>
        <w:pStyle w:val="30"/>
        <w:spacing w:line="360" w:lineRule="exact"/>
        <w:ind w:firstLine="420"/>
        <w:rPr>
          <w:rFonts w:ascii="Times New Roman"/>
        </w:rPr>
      </w:pPr>
      <w:r>
        <w:rPr>
          <w:rFonts w:ascii="Times New Roman"/>
        </w:rPr>
        <w:t>本文件按照GB/T 1.1-2020《标准化工作导则 第1部分：标准化文件的结构和起草规则》的规定起草。</w:t>
      </w:r>
    </w:p>
    <w:p w14:paraId="108E71EA">
      <w:pPr>
        <w:pStyle w:val="30"/>
        <w:spacing w:line="360" w:lineRule="exact"/>
        <w:ind w:firstLine="420"/>
        <w:rPr>
          <w:rFonts w:ascii="Times New Roman"/>
          <w:szCs w:val="21"/>
        </w:rPr>
      </w:pPr>
      <w:r>
        <w:rPr>
          <w:rFonts w:hint="eastAsia" w:ascii="Times New Roman"/>
          <w:szCs w:val="21"/>
        </w:rPr>
        <w:t>本文件代替GB 18320-2008和</w:t>
      </w:r>
      <w:r>
        <w:rPr>
          <w:rFonts w:ascii="Times New Roman"/>
          <w:szCs w:val="21"/>
        </w:rPr>
        <w:t>GB</w:t>
      </w:r>
      <w:r>
        <w:rPr>
          <w:rFonts w:hint="eastAsia" w:ascii="Times New Roman"/>
          <w:szCs w:val="21"/>
        </w:rPr>
        <w:t xml:space="preserve"> </w:t>
      </w:r>
      <w:r>
        <w:rPr>
          <w:rFonts w:ascii="Times New Roman"/>
          <w:szCs w:val="21"/>
        </w:rPr>
        <w:t>24943-2010</w:t>
      </w:r>
      <w:r>
        <w:rPr>
          <w:rFonts w:hint="eastAsia" w:ascii="Times New Roman"/>
          <w:szCs w:val="21"/>
        </w:rPr>
        <w:t>，整合了</w:t>
      </w:r>
      <w:r>
        <w:rPr>
          <w:rFonts w:ascii="Times New Roman"/>
          <w:szCs w:val="21"/>
        </w:rPr>
        <w:t>GB</w:t>
      </w:r>
      <w:r>
        <w:rPr>
          <w:rFonts w:hint="eastAsia" w:ascii="Times New Roman"/>
          <w:szCs w:val="21"/>
        </w:rPr>
        <w:t xml:space="preserve"> </w:t>
      </w:r>
      <w:r>
        <w:rPr>
          <w:rFonts w:ascii="Times New Roman"/>
          <w:szCs w:val="21"/>
        </w:rPr>
        <w:t>24943-2010</w:t>
      </w:r>
      <w:r>
        <w:rPr>
          <w:rFonts w:hint="eastAsia" w:ascii="Times New Roman"/>
          <w:szCs w:val="21"/>
        </w:rPr>
        <w:t>全部技术内容，与GB 18320-2008相比，除了结构调整和编辑性修改外，主要技术变化如下：</w:t>
      </w:r>
    </w:p>
    <w:p w14:paraId="3264FA58">
      <w:pPr>
        <w:pStyle w:val="30"/>
        <w:spacing w:line="360" w:lineRule="exact"/>
        <w:ind w:firstLine="420"/>
        <w:rPr>
          <w:rFonts w:ascii="Times New Roman"/>
        </w:rPr>
      </w:pPr>
      <w:r>
        <w:rPr>
          <w:rFonts w:hint="eastAsia" w:ascii="Times New Roman"/>
        </w:rPr>
        <w:t>——标准名称由“三轮汽车和低速货车 安全技术要求”更改为“三轮汽车  安全技术规范”；</w:t>
      </w:r>
    </w:p>
    <w:p w14:paraId="3C81C106">
      <w:pPr>
        <w:pStyle w:val="30"/>
        <w:spacing w:line="360" w:lineRule="exact"/>
        <w:ind w:firstLine="420"/>
        <w:rPr>
          <w:rFonts w:ascii="Times New Roman"/>
        </w:rPr>
      </w:pPr>
      <w:r>
        <w:rPr>
          <w:rFonts w:hint="eastAsia" w:ascii="Times New Roman"/>
        </w:rPr>
        <w:t>——更改了标准的适用范围（见第1章，2008年版的第1章）；</w:t>
      </w:r>
    </w:p>
    <w:p w14:paraId="2A00AB50">
      <w:pPr>
        <w:pStyle w:val="30"/>
        <w:spacing w:line="360" w:lineRule="exact"/>
        <w:ind w:firstLine="420"/>
        <w:rPr>
          <w:rFonts w:ascii="Times New Roman"/>
        </w:rPr>
      </w:pPr>
      <w:r>
        <w:rPr>
          <w:rFonts w:hint="eastAsia" w:ascii="Times New Roman"/>
        </w:rPr>
        <w:t>——删除了危险一览表（见2008年版第3章）；</w:t>
      </w:r>
    </w:p>
    <w:p w14:paraId="721EA6AC">
      <w:pPr>
        <w:pStyle w:val="30"/>
        <w:spacing w:line="360" w:lineRule="exact"/>
        <w:ind w:firstLine="420"/>
        <w:rPr>
          <w:rFonts w:ascii="Times New Roman"/>
        </w:rPr>
      </w:pPr>
      <w:r>
        <w:rPr>
          <w:rFonts w:hint="eastAsia" w:ascii="Times New Roman"/>
        </w:rPr>
        <w:t>——增加了术语和定义（见第3章）；</w:t>
      </w:r>
    </w:p>
    <w:p w14:paraId="27343C87">
      <w:pPr>
        <w:pStyle w:val="30"/>
        <w:spacing w:line="360" w:lineRule="exact"/>
        <w:ind w:firstLine="420"/>
        <w:rPr>
          <w:rFonts w:ascii="Times New Roman"/>
        </w:rPr>
      </w:pPr>
      <w:r>
        <w:rPr>
          <w:rFonts w:hint="eastAsia" w:ascii="Times New Roman"/>
        </w:rPr>
        <w:t>——将一般要求调整为整车要求并增加了整车周正性、</w:t>
      </w:r>
      <w:r>
        <w:rPr>
          <w:rFonts w:ascii="Times New Roman"/>
          <w:szCs w:val="21"/>
        </w:rPr>
        <w:t>比功率</w:t>
      </w:r>
      <w:r>
        <w:rPr>
          <w:rFonts w:hint="eastAsia" w:ascii="Times New Roman"/>
          <w:szCs w:val="21"/>
        </w:rPr>
        <w:t>、</w:t>
      </w:r>
      <w:r>
        <w:rPr>
          <w:rFonts w:hint="eastAsia" w:ascii="Times New Roman"/>
        </w:rPr>
        <w:t>质</w:t>
      </w:r>
      <w:r>
        <w:rPr>
          <w:rFonts w:ascii="Times New Roman"/>
          <w:szCs w:val="21"/>
        </w:rPr>
        <w:t>量利用系数</w:t>
      </w:r>
      <w:r>
        <w:rPr>
          <w:rFonts w:hint="eastAsia" w:ascii="Times New Roman"/>
          <w:szCs w:val="21"/>
        </w:rPr>
        <w:t>、罐体总容量等要求</w:t>
      </w:r>
      <w:r>
        <w:rPr>
          <w:rFonts w:hint="eastAsia" w:ascii="Times New Roman"/>
        </w:rPr>
        <w:t>（见4.1，2008年版4.1）；</w:t>
      </w:r>
    </w:p>
    <w:p w14:paraId="76A6D2F0">
      <w:pPr>
        <w:pStyle w:val="30"/>
        <w:spacing w:line="360" w:lineRule="exact"/>
        <w:ind w:firstLine="420"/>
        <w:rPr>
          <w:rFonts w:ascii="Times New Roman"/>
        </w:rPr>
      </w:pPr>
      <w:r>
        <w:rPr>
          <w:rFonts w:hint="eastAsia" w:ascii="Times New Roman"/>
        </w:rPr>
        <w:t>——增加了</w:t>
      </w:r>
      <w:r>
        <w:rPr>
          <w:rFonts w:ascii="Times New Roman"/>
        </w:rPr>
        <w:t>排半驾驶室的三轮汽车座椅后部</w:t>
      </w:r>
      <w:r>
        <w:rPr>
          <w:rFonts w:hint="eastAsia" w:ascii="Times New Roman"/>
        </w:rPr>
        <w:t>空间要求（见4.2.1.2）；</w:t>
      </w:r>
    </w:p>
    <w:p w14:paraId="19A55343">
      <w:pPr>
        <w:pStyle w:val="30"/>
        <w:spacing w:line="360" w:lineRule="exact"/>
        <w:ind w:firstLine="420"/>
        <w:rPr>
          <w:rFonts w:ascii="Times New Roman"/>
        </w:rPr>
      </w:pPr>
      <w:r>
        <w:rPr>
          <w:rFonts w:hint="eastAsia" w:ascii="Times New Roman"/>
        </w:rPr>
        <w:t>——增加了</w:t>
      </w:r>
      <w:r>
        <w:rPr>
          <w:rFonts w:ascii="Times New Roman"/>
        </w:rPr>
        <w:t>方向盘式三轮汽车的副驾驶</w:t>
      </w:r>
      <w:r>
        <w:rPr>
          <w:rFonts w:hint="eastAsia" w:ascii="Times New Roman"/>
        </w:rPr>
        <w:t>座椅尺寸要求（见4.2.2.3）；</w:t>
      </w:r>
    </w:p>
    <w:p w14:paraId="09D2452C">
      <w:pPr>
        <w:pStyle w:val="30"/>
        <w:spacing w:line="360" w:lineRule="exact"/>
        <w:ind w:firstLine="420"/>
        <w:rPr>
          <w:rFonts w:ascii="Times New Roman"/>
        </w:rPr>
      </w:pPr>
      <w:r>
        <w:rPr>
          <w:rFonts w:hint="eastAsia" w:ascii="Times New Roman"/>
        </w:rPr>
        <w:t>——更改了</w:t>
      </w:r>
      <w:r>
        <w:rPr>
          <w:rFonts w:ascii="Times New Roman"/>
        </w:rPr>
        <w:t>转向盘（方向把）中心偏置量</w:t>
      </w:r>
      <w:r>
        <w:rPr>
          <w:rFonts w:hint="eastAsia" w:ascii="Times New Roman"/>
        </w:rPr>
        <w:t>要求（见4.2.3.1，2008年版4.2.3）；</w:t>
      </w:r>
    </w:p>
    <w:p w14:paraId="52F794E8">
      <w:pPr>
        <w:pStyle w:val="30"/>
        <w:spacing w:line="360" w:lineRule="exact"/>
        <w:ind w:firstLine="420"/>
        <w:rPr>
          <w:rFonts w:ascii="Times New Roman"/>
        </w:rPr>
      </w:pPr>
      <w:r>
        <w:rPr>
          <w:rFonts w:hint="eastAsia" w:ascii="Times New Roman"/>
        </w:rPr>
        <w:t>——增加了</w:t>
      </w:r>
      <w:r>
        <w:rPr>
          <w:rFonts w:ascii="Times New Roman"/>
        </w:rPr>
        <w:t>操纵机构的各零部件灵活</w:t>
      </w:r>
      <w:r>
        <w:rPr>
          <w:rFonts w:hint="eastAsia" w:ascii="Times New Roman"/>
        </w:rPr>
        <w:t>性要求（见4.2.4.2）；</w:t>
      </w:r>
    </w:p>
    <w:p w14:paraId="2E7074ED">
      <w:pPr>
        <w:pStyle w:val="30"/>
        <w:spacing w:line="360" w:lineRule="exact"/>
        <w:ind w:firstLine="420"/>
        <w:rPr>
          <w:rFonts w:ascii="Times New Roman"/>
        </w:rPr>
      </w:pPr>
      <w:r>
        <w:rPr>
          <w:rFonts w:hint="eastAsia" w:ascii="Times New Roman"/>
        </w:rPr>
        <w:t>——更改了全封闭驾驶室三轮汽车进出驾驶室的通道要求，删除了低速货车进出驾驶室的通道要求（见4.2.5.2，2008年版4.2.5）；</w:t>
      </w:r>
    </w:p>
    <w:p w14:paraId="60CFA50D">
      <w:pPr>
        <w:pStyle w:val="30"/>
        <w:spacing w:line="360" w:lineRule="exact"/>
        <w:ind w:firstLine="420"/>
        <w:rPr>
          <w:rFonts w:ascii="Times New Roman"/>
        </w:rPr>
      </w:pPr>
      <w:r>
        <w:rPr>
          <w:rFonts w:hint="eastAsia" w:ascii="Times New Roman"/>
        </w:rPr>
        <w:t>——更改了车身、车门和车窗要求，增加了车身不应出现</w:t>
      </w:r>
      <w:r>
        <w:rPr>
          <w:rFonts w:ascii="Times New Roman" w:eastAsia="方正书宋简体"/>
          <w:lang w:bidi="ar"/>
        </w:rPr>
        <w:t>镜面反光</w:t>
      </w:r>
      <w:r>
        <w:rPr>
          <w:rFonts w:hint="eastAsia" w:ascii="Times New Roman" w:eastAsia="方正书宋简体"/>
          <w:lang w:bidi="ar"/>
        </w:rPr>
        <w:t>、不应设置增加外扩尺寸结构、</w:t>
      </w:r>
      <w:r>
        <w:rPr>
          <w:rFonts w:ascii="Times New Roman"/>
          <w:lang w:bidi="ar"/>
        </w:rPr>
        <w:t>载货部位</w:t>
      </w:r>
      <w:r>
        <w:rPr>
          <w:rFonts w:hint="eastAsia" w:ascii="Times New Roman"/>
          <w:lang w:bidi="ar"/>
        </w:rPr>
        <w:t>结构、</w:t>
      </w:r>
      <w:r>
        <w:rPr>
          <w:rFonts w:ascii="Times New Roman"/>
          <w:color w:val="000000"/>
          <w:lang w:bidi="ar"/>
        </w:rPr>
        <w:t>微波窗口</w:t>
      </w:r>
      <w:r>
        <w:rPr>
          <w:rFonts w:hint="eastAsia" w:ascii="Times New Roman"/>
          <w:color w:val="000000"/>
          <w:lang w:bidi="ar"/>
        </w:rPr>
        <w:t>等要求</w:t>
      </w:r>
      <w:r>
        <w:rPr>
          <w:rFonts w:hint="eastAsia" w:ascii="Times New Roman"/>
        </w:rPr>
        <w:t>（见4.2.6，2008年版4.2.6）；</w:t>
      </w:r>
    </w:p>
    <w:p w14:paraId="46C31682">
      <w:pPr>
        <w:pStyle w:val="30"/>
        <w:spacing w:line="360" w:lineRule="exact"/>
        <w:ind w:firstLine="420"/>
        <w:rPr>
          <w:rFonts w:ascii="Times New Roman"/>
        </w:rPr>
      </w:pPr>
      <w:r>
        <w:rPr>
          <w:rFonts w:hint="eastAsia" w:ascii="Times New Roman"/>
        </w:rPr>
        <w:t>——删除了低速货车转向轴轴荷比和侧倾稳定角要求，增加了</w:t>
      </w:r>
      <w:r>
        <w:rPr>
          <w:rFonts w:ascii="Times New Roman"/>
        </w:rPr>
        <w:t>罐式三轮汽车</w:t>
      </w:r>
      <w:r>
        <w:rPr>
          <w:rFonts w:hint="eastAsia" w:ascii="Times New Roman"/>
        </w:rPr>
        <w:t>侧倾稳定角要求（见4.3，2008年版4.3）；</w:t>
      </w:r>
    </w:p>
    <w:p w14:paraId="387950BC">
      <w:pPr>
        <w:pStyle w:val="30"/>
        <w:spacing w:line="360" w:lineRule="exact"/>
        <w:ind w:firstLine="420"/>
        <w:rPr>
          <w:rFonts w:ascii="Times New Roman"/>
        </w:rPr>
      </w:pPr>
      <w:r>
        <w:rPr>
          <w:rFonts w:hint="eastAsia" w:ascii="Times New Roman"/>
        </w:rPr>
        <w:t>——删除了低速货车转向系要求，更改了三轮汽车</w:t>
      </w:r>
      <w:r>
        <w:rPr>
          <w:rFonts w:ascii="Times New Roman"/>
          <w:szCs w:val="21"/>
        </w:rPr>
        <w:t>方向盘最大自由转动量</w:t>
      </w:r>
      <w:r>
        <w:rPr>
          <w:rFonts w:hint="eastAsia" w:ascii="Times New Roman"/>
          <w:szCs w:val="21"/>
        </w:rPr>
        <w:t>，增加了</w:t>
      </w:r>
      <w:r>
        <w:rPr>
          <w:rFonts w:ascii="Times New Roman"/>
        </w:rPr>
        <w:t>转向限位装置</w:t>
      </w:r>
      <w:r>
        <w:rPr>
          <w:rFonts w:hint="eastAsia" w:ascii="Times New Roman"/>
        </w:rPr>
        <w:t>承载扭矩、增加了前减震器外观、方向柱等要求（见4.4.2，2008年版4.4.2）；</w:t>
      </w:r>
    </w:p>
    <w:p w14:paraId="65066C35">
      <w:pPr>
        <w:pStyle w:val="30"/>
        <w:spacing w:line="360" w:lineRule="exact"/>
        <w:ind w:firstLine="420"/>
        <w:rPr>
          <w:rFonts w:ascii="Times New Roman"/>
        </w:rPr>
      </w:pPr>
      <w:r>
        <w:rPr>
          <w:rFonts w:hint="eastAsia" w:ascii="Times New Roman"/>
        </w:rPr>
        <w:t>——删除了低速货车制动系要求，增加了液压制动系统、气压制动系统要求，删除了台式制动要求（见4.4.3，2008年版4.4.3）；</w:t>
      </w:r>
    </w:p>
    <w:p w14:paraId="1BCA01CC">
      <w:pPr>
        <w:pStyle w:val="30"/>
        <w:spacing w:line="360" w:lineRule="exact"/>
        <w:ind w:firstLine="420"/>
        <w:rPr>
          <w:rFonts w:ascii="Times New Roman"/>
        </w:rPr>
      </w:pPr>
      <w:r>
        <w:rPr>
          <w:rFonts w:hint="eastAsia" w:ascii="Times New Roman"/>
        </w:rPr>
        <w:t>——增加了轮胎规格、轮胎胎面、</w:t>
      </w:r>
      <w:r>
        <w:rPr>
          <w:rFonts w:ascii="Times New Roman"/>
          <w:szCs w:val="21"/>
        </w:rPr>
        <w:t>车轮总成</w:t>
      </w:r>
      <w:r>
        <w:rPr>
          <w:rFonts w:hint="eastAsia" w:ascii="Times New Roman"/>
          <w:szCs w:val="21"/>
        </w:rPr>
        <w:t>跳动量等要求（见4.4.4，</w:t>
      </w:r>
      <w:r>
        <w:rPr>
          <w:rFonts w:hint="eastAsia" w:ascii="Times New Roman"/>
        </w:rPr>
        <w:t>2008年版4.4.4</w:t>
      </w:r>
      <w:r>
        <w:rPr>
          <w:rFonts w:hint="eastAsia" w:ascii="Times New Roman"/>
          <w:szCs w:val="21"/>
        </w:rPr>
        <w:t>）；</w:t>
      </w:r>
    </w:p>
    <w:p w14:paraId="19656347">
      <w:pPr>
        <w:pStyle w:val="30"/>
        <w:spacing w:line="360" w:lineRule="exact"/>
        <w:ind w:firstLine="420"/>
        <w:rPr>
          <w:rFonts w:ascii="Times New Roman"/>
        </w:rPr>
      </w:pPr>
      <w:r>
        <w:rPr>
          <w:rFonts w:hint="eastAsia" w:ascii="Times New Roman"/>
        </w:rPr>
        <w:t>——增加了不应采用</w:t>
      </w:r>
      <w:r>
        <w:rPr>
          <w:rFonts w:ascii="Times New Roman"/>
        </w:rPr>
        <w:t>超速挡的变速器</w:t>
      </w:r>
      <w:r>
        <w:rPr>
          <w:rFonts w:hint="eastAsia" w:ascii="Times New Roman"/>
        </w:rPr>
        <w:t>、传动轴运转稳定性、限速装置等要求，删除了换挡杆操纵力要求（见4.4.5，2008年版4.4.5）；</w:t>
      </w:r>
    </w:p>
    <w:p w14:paraId="1E3758E1">
      <w:pPr>
        <w:pStyle w:val="30"/>
        <w:spacing w:line="360" w:lineRule="exact"/>
        <w:ind w:firstLine="420"/>
        <w:rPr>
          <w:rFonts w:ascii="Times New Roman" w:eastAsia="方正书宋简体"/>
        </w:rPr>
      </w:pPr>
      <w:r>
        <w:rPr>
          <w:rFonts w:hint="eastAsia" w:ascii="Times New Roman"/>
        </w:rPr>
        <w:t>——增加了</w:t>
      </w:r>
      <w:r>
        <w:rPr>
          <w:rFonts w:ascii="Times New Roman" w:eastAsia="方正书宋简体"/>
        </w:rPr>
        <w:t>侧翻式自卸</w:t>
      </w:r>
      <w:r>
        <w:rPr>
          <w:rFonts w:hint="eastAsia" w:ascii="Times New Roman" w:eastAsia="方正书宋简体"/>
        </w:rPr>
        <w:t>装置要求（见4.4.6.1）；</w:t>
      </w:r>
    </w:p>
    <w:p w14:paraId="5FB518B9">
      <w:pPr>
        <w:pStyle w:val="30"/>
        <w:spacing w:line="360" w:lineRule="exact"/>
        <w:ind w:firstLine="420"/>
        <w:rPr>
          <w:rFonts w:ascii="Times New Roman"/>
        </w:rPr>
      </w:pPr>
      <w:r>
        <w:rPr>
          <w:rFonts w:hint="eastAsia" w:ascii="Times New Roman"/>
        </w:rPr>
        <w:t>——删除了低速货车</w:t>
      </w:r>
      <w:r>
        <w:rPr>
          <w:rFonts w:ascii="Times New Roman"/>
        </w:rPr>
        <w:t>照明、信号装置和电气设备</w:t>
      </w:r>
      <w:r>
        <w:rPr>
          <w:rFonts w:hint="eastAsia" w:ascii="Times New Roman"/>
        </w:rPr>
        <w:t>要求，增加了</w:t>
      </w:r>
      <w:r>
        <w:rPr>
          <w:rFonts w:ascii="Times New Roman"/>
        </w:rPr>
        <w:t>照明、信号装置</w:t>
      </w:r>
      <w:r>
        <w:rPr>
          <w:rFonts w:hint="eastAsia" w:ascii="Times New Roman"/>
        </w:rPr>
        <w:t>振动稳定性、不应安装外部遮挡、</w:t>
      </w:r>
      <w:r>
        <w:rPr>
          <w:rFonts w:ascii="Times New Roman"/>
        </w:rPr>
        <w:t>前照灯灯光束照射位置</w:t>
      </w:r>
      <w:r>
        <w:rPr>
          <w:rFonts w:hint="eastAsia" w:ascii="Times New Roman"/>
        </w:rPr>
        <w:t>、远光灯总发光强度、</w:t>
      </w:r>
      <w:r>
        <w:rPr>
          <w:rFonts w:ascii="Times New Roman"/>
        </w:rPr>
        <w:t>信号装置</w:t>
      </w:r>
      <w:r>
        <w:rPr>
          <w:rFonts w:hint="eastAsia" w:ascii="Times New Roman"/>
        </w:rPr>
        <w:t>配光性能、反光标识安装等要求（见4.5，2008年版4.5）；</w:t>
      </w:r>
    </w:p>
    <w:p w14:paraId="4CFE9D0C">
      <w:pPr>
        <w:pStyle w:val="30"/>
        <w:spacing w:line="360" w:lineRule="exact"/>
        <w:ind w:firstLine="420"/>
        <w:rPr>
          <w:rFonts w:ascii="Times New Roman"/>
        </w:rPr>
      </w:pPr>
      <w:r>
        <w:rPr>
          <w:rFonts w:hint="eastAsia" w:ascii="Times New Roman"/>
        </w:rPr>
        <w:t>——删除了低速货车安全防护装置要求，增加了后视镜</w:t>
      </w:r>
      <w:r>
        <w:rPr>
          <w:rFonts w:ascii="Times New Roman"/>
        </w:rPr>
        <w:t>的</w:t>
      </w:r>
      <w:r>
        <w:rPr>
          <w:rFonts w:hint="eastAsia" w:ascii="Times New Roman"/>
        </w:rPr>
        <w:t>性能、</w:t>
      </w:r>
      <w:r>
        <w:rPr>
          <w:rFonts w:ascii="Times New Roman"/>
        </w:rPr>
        <w:t>安装位置和角度</w:t>
      </w:r>
      <w:r>
        <w:rPr>
          <w:rFonts w:hint="eastAsia" w:ascii="Times New Roman"/>
        </w:rPr>
        <w:t>要求（见4.6，2008年版4.6）；</w:t>
      </w:r>
    </w:p>
    <w:p w14:paraId="30257C00">
      <w:pPr>
        <w:pStyle w:val="30"/>
        <w:spacing w:line="360" w:lineRule="exact"/>
        <w:ind w:firstLine="420"/>
        <w:rPr>
          <w:rFonts w:ascii="Times New Roman"/>
        </w:rPr>
      </w:pPr>
      <w:r>
        <w:rPr>
          <w:rFonts w:hint="eastAsia" w:ascii="Times New Roman"/>
        </w:rPr>
        <w:t>——增加了管路布线要求（见4.7.1.3）；</w:t>
      </w:r>
    </w:p>
    <w:p w14:paraId="3071C16C">
      <w:pPr>
        <w:pStyle w:val="30"/>
        <w:spacing w:line="360" w:lineRule="exact"/>
        <w:ind w:firstLine="420"/>
        <w:rPr>
          <w:rFonts w:ascii="Times New Roman"/>
        </w:rPr>
      </w:pPr>
      <w:r>
        <w:rPr>
          <w:rFonts w:hint="eastAsia" w:ascii="Times New Roman"/>
        </w:rPr>
        <w:t>——删除了低速货车油箱要求（见4.7.2，2008年版4.7.2）；</w:t>
      </w:r>
    </w:p>
    <w:p w14:paraId="583C9917">
      <w:pPr>
        <w:pStyle w:val="30"/>
        <w:spacing w:line="360" w:lineRule="exact"/>
        <w:ind w:firstLine="420"/>
        <w:rPr>
          <w:rFonts w:ascii="Times New Roman" w:eastAsia="方正书宋简体"/>
        </w:rPr>
      </w:pPr>
      <w:r>
        <w:rPr>
          <w:rFonts w:hint="eastAsia" w:ascii="Times New Roman"/>
        </w:rPr>
        <w:t>——更改了</w:t>
      </w:r>
      <w:r>
        <w:rPr>
          <w:rFonts w:ascii="Times New Roman" w:eastAsia="方正书宋简体"/>
        </w:rPr>
        <w:t>热表面防护装置或挡板</w:t>
      </w:r>
      <w:r>
        <w:rPr>
          <w:rFonts w:hint="eastAsia" w:ascii="Times New Roman" w:eastAsia="方正书宋简体"/>
        </w:rPr>
        <w:t>要求（见4.8.1，</w:t>
      </w:r>
      <w:r>
        <w:rPr>
          <w:rFonts w:hint="eastAsia" w:ascii="Times New Roman"/>
        </w:rPr>
        <w:t>2008年版4.8</w:t>
      </w:r>
      <w:r>
        <w:rPr>
          <w:rFonts w:hint="eastAsia" w:ascii="Times New Roman" w:eastAsia="方正书宋简体"/>
        </w:rPr>
        <w:t>）；</w:t>
      </w:r>
    </w:p>
    <w:p w14:paraId="61AD3809">
      <w:pPr>
        <w:pStyle w:val="30"/>
        <w:spacing w:line="360" w:lineRule="exact"/>
        <w:ind w:firstLine="420"/>
        <w:rPr>
          <w:rFonts w:ascii="Times New Roman"/>
        </w:rPr>
      </w:pPr>
      <w:r>
        <w:rPr>
          <w:rFonts w:hint="eastAsia" w:ascii="Times New Roman"/>
        </w:rPr>
        <w:t>——增加了电气导线</w:t>
      </w:r>
      <w:r>
        <w:rPr>
          <w:rFonts w:ascii="Times New Roman"/>
        </w:rPr>
        <w:t>接插件</w:t>
      </w:r>
      <w:r>
        <w:rPr>
          <w:rFonts w:hint="eastAsia" w:ascii="Times New Roman"/>
        </w:rPr>
        <w:t>牢靠性、导线绝缘性及保险丝安装等要求（见</w:t>
      </w:r>
      <w:r>
        <w:rPr>
          <w:rFonts w:ascii="Times New Roman"/>
        </w:rPr>
        <w:t>4.9.2.2</w:t>
      </w:r>
      <w:r>
        <w:rPr>
          <w:rFonts w:hint="eastAsia" w:ascii="微软雅黑" w:hAnsi="微软雅黑" w:eastAsia="微软雅黑" w:cs="微软雅黑"/>
        </w:rPr>
        <w:t>~</w:t>
      </w:r>
      <w:r>
        <w:rPr>
          <w:rFonts w:ascii="Times New Roman"/>
        </w:rPr>
        <w:t>4.9.2.</w:t>
      </w:r>
      <w:r>
        <w:rPr>
          <w:rFonts w:hint="eastAsia" w:ascii="Times New Roman"/>
        </w:rPr>
        <w:t>4）；</w:t>
      </w:r>
    </w:p>
    <w:p w14:paraId="14575FD3">
      <w:pPr>
        <w:pStyle w:val="30"/>
        <w:spacing w:line="360" w:lineRule="exact"/>
        <w:ind w:firstLine="420"/>
        <w:rPr>
          <w:rFonts w:ascii="Times New Roman"/>
        </w:rPr>
      </w:pPr>
      <w:r>
        <w:rPr>
          <w:rFonts w:hint="eastAsia" w:ascii="Times New Roman"/>
        </w:rPr>
        <w:t>——删除了低速货车最高设计车速要求，增加了</w:t>
      </w:r>
      <w:r>
        <w:rPr>
          <w:rFonts w:ascii="Times New Roman"/>
          <w:kern w:val="2"/>
          <w:szCs w:val="21"/>
        </w:rPr>
        <w:t>最大设计车速大于40 km/h的三轮汽车</w:t>
      </w:r>
      <w:r>
        <w:rPr>
          <w:rFonts w:hint="eastAsia" w:ascii="Times New Roman"/>
          <w:kern w:val="2"/>
          <w:szCs w:val="21"/>
        </w:rPr>
        <w:t>安装车速表要求（见4.11，</w:t>
      </w:r>
      <w:r>
        <w:rPr>
          <w:rFonts w:hint="eastAsia" w:ascii="Times New Roman"/>
        </w:rPr>
        <w:t>2008年版4.11</w:t>
      </w:r>
      <w:r>
        <w:rPr>
          <w:rFonts w:hint="eastAsia" w:ascii="Times New Roman"/>
          <w:kern w:val="2"/>
          <w:szCs w:val="21"/>
        </w:rPr>
        <w:t>）；</w:t>
      </w:r>
    </w:p>
    <w:p w14:paraId="4690F5F9">
      <w:pPr>
        <w:pStyle w:val="30"/>
        <w:spacing w:line="360" w:lineRule="exact"/>
        <w:ind w:firstLine="420"/>
        <w:rPr>
          <w:rFonts w:ascii="Times New Roman"/>
        </w:rPr>
      </w:pPr>
      <w:r>
        <w:rPr>
          <w:rFonts w:hint="eastAsia" w:ascii="Times New Roman"/>
        </w:rPr>
        <w:t>——删除了低速货车最大允许总质量和外廓尺寸要求，增加了尺寸参数和质量参数制造误差要求（见4.12，2008年版4.12）；</w:t>
      </w:r>
    </w:p>
    <w:p w14:paraId="4477F13F">
      <w:pPr>
        <w:pStyle w:val="30"/>
        <w:spacing w:line="360" w:lineRule="exact"/>
        <w:ind w:firstLine="420"/>
        <w:rPr>
          <w:rFonts w:ascii="Times New Roman"/>
        </w:rPr>
      </w:pPr>
      <w:r>
        <w:rPr>
          <w:rFonts w:hint="eastAsia" w:ascii="Times New Roman"/>
        </w:rPr>
        <w:t>——更改了排气管口方向要求、</w:t>
      </w:r>
      <w:r>
        <w:rPr>
          <w:rFonts w:ascii="Times New Roman"/>
        </w:rPr>
        <w:t>加速排气烟度限值</w:t>
      </w:r>
      <w:r>
        <w:rPr>
          <w:rFonts w:hint="eastAsia" w:ascii="Times New Roman"/>
        </w:rPr>
        <w:t>、</w:t>
      </w:r>
      <w:r>
        <w:rPr>
          <w:rFonts w:ascii="Times New Roman"/>
        </w:rPr>
        <w:t>排气污染物排放限值</w:t>
      </w:r>
      <w:r>
        <w:rPr>
          <w:rFonts w:hint="eastAsia" w:ascii="Times New Roman"/>
        </w:rPr>
        <w:t>等要求（见4.1</w:t>
      </w:r>
      <w:r>
        <w:rPr>
          <w:rFonts w:hint="eastAsia" w:ascii="Times New Roman"/>
          <w:lang w:val="en-US" w:eastAsia="zh-CN"/>
        </w:rPr>
        <w:t>3</w:t>
      </w:r>
      <w:r>
        <w:rPr>
          <w:rFonts w:hint="eastAsia" w:ascii="Times New Roman"/>
        </w:rPr>
        <w:t>，2008年版4.13）；</w:t>
      </w:r>
    </w:p>
    <w:p w14:paraId="541E3537">
      <w:pPr>
        <w:pStyle w:val="30"/>
        <w:spacing w:line="360" w:lineRule="exact"/>
        <w:ind w:firstLine="420"/>
        <w:rPr>
          <w:rFonts w:ascii="Times New Roman"/>
        </w:rPr>
      </w:pPr>
      <w:r>
        <w:rPr>
          <w:rFonts w:hint="eastAsia" w:ascii="Times New Roman"/>
        </w:rPr>
        <w:t>——增加了安装柴油发动机</w:t>
      </w:r>
      <w:r>
        <w:rPr>
          <w:rFonts w:ascii="Times New Roman"/>
        </w:rPr>
        <w:t>三轮汽车</w:t>
      </w:r>
      <w:r>
        <w:rPr>
          <w:rFonts w:hint="eastAsia" w:ascii="Times New Roman"/>
        </w:rPr>
        <w:t>的燃料消耗量限值要求（见4.1</w:t>
      </w:r>
      <w:r>
        <w:rPr>
          <w:rFonts w:hint="eastAsia" w:ascii="Times New Roman"/>
          <w:lang w:val="en-US" w:eastAsia="zh-CN"/>
        </w:rPr>
        <w:t>4</w:t>
      </w:r>
      <w:r>
        <w:rPr>
          <w:rFonts w:hint="eastAsia" w:ascii="Times New Roman"/>
        </w:rPr>
        <w:t>）；</w:t>
      </w:r>
    </w:p>
    <w:p w14:paraId="3C4A0211">
      <w:pPr>
        <w:pStyle w:val="30"/>
        <w:spacing w:line="360" w:lineRule="exact"/>
        <w:ind w:firstLine="420"/>
        <w:rPr>
          <w:rFonts w:ascii="Times New Roman"/>
        </w:rPr>
      </w:pPr>
      <w:r>
        <w:rPr>
          <w:rFonts w:hint="eastAsia" w:ascii="Times New Roman"/>
        </w:rPr>
        <w:t>——删除了低速货车使用信息要求，更改了</w:t>
      </w:r>
      <w:r>
        <w:rPr>
          <w:rFonts w:ascii="Times New Roman"/>
          <w:szCs w:val="21"/>
        </w:rPr>
        <w:t>三轮汽车车辆识别代号</w:t>
      </w:r>
      <w:r>
        <w:rPr>
          <w:rFonts w:hint="eastAsia" w:ascii="Times New Roman"/>
          <w:szCs w:val="21"/>
        </w:rPr>
        <w:t>要求、</w:t>
      </w:r>
      <w:r>
        <w:rPr>
          <w:rFonts w:ascii="Times New Roman"/>
          <w:szCs w:val="21"/>
        </w:rPr>
        <w:t>号牌板（架）</w:t>
      </w:r>
      <w:r>
        <w:rPr>
          <w:rFonts w:hint="eastAsia" w:ascii="Times New Roman"/>
          <w:szCs w:val="21"/>
        </w:rPr>
        <w:t>设置要求等（见5.1，</w:t>
      </w:r>
      <w:r>
        <w:rPr>
          <w:rFonts w:hint="eastAsia" w:ascii="Times New Roman"/>
        </w:rPr>
        <w:t>2008年版6.1</w:t>
      </w:r>
      <w:r>
        <w:rPr>
          <w:rFonts w:hint="eastAsia" w:ascii="Times New Roman"/>
          <w:szCs w:val="21"/>
        </w:rPr>
        <w:t>）；</w:t>
      </w:r>
    </w:p>
    <w:p w14:paraId="40B894EC">
      <w:pPr>
        <w:pStyle w:val="30"/>
        <w:spacing w:line="360" w:lineRule="exact"/>
        <w:ind w:firstLine="420"/>
        <w:rPr>
          <w:rFonts w:ascii="Times New Roman"/>
        </w:rPr>
      </w:pPr>
      <w:r>
        <w:rPr>
          <w:rFonts w:hint="eastAsia" w:ascii="Times New Roman"/>
        </w:rPr>
        <w:t>——删除了低速货车</w:t>
      </w:r>
      <w:r>
        <w:rPr>
          <w:rFonts w:ascii="Times New Roman"/>
          <w:szCs w:val="21"/>
        </w:rPr>
        <w:t>图形标志</w:t>
      </w:r>
      <w:r>
        <w:rPr>
          <w:rFonts w:hint="eastAsia" w:ascii="Times New Roman"/>
          <w:szCs w:val="21"/>
        </w:rPr>
        <w:t>要求（见5.2，</w:t>
      </w:r>
      <w:r>
        <w:rPr>
          <w:rFonts w:hint="eastAsia" w:ascii="Times New Roman"/>
        </w:rPr>
        <w:t>2008年版6.2</w:t>
      </w:r>
      <w:r>
        <w:rPr>
          <w:rFonts w:hint="eastAsia" w:ascii="Times New Roman"/>
          <w:szCs w:val="21"/>
        </w:rPr>
        <w:t>）；</w:t>
      </w:r>
    </w:p>
    <w:p w14:paraId="1DF183F7">
      <w:pPr>
        <w:pStyle w:val="30"/>
        <w:spacing w:line="360" w:lineRule="exact"/>
        <w:ind w:firstLine="420"/>
        <w:rPr>
          <w:rFonts w:ascii="Times New Roman"/>
        </w:rPr>
      </w:pPr>
      <w:r>
        <w:rPr>
          <w:rFonts w:hint="eastAsia" w:ascii="Times New Roman"/>
        </w:rPr>
        <w:t>——删除了低速货车安全标志要求、更改了安全标志型式、构成、颜色和尺寸等要求（见5.3，2008年版6.3）；</w:t>
      </w:r>
    </w:p>
    <w:p w14:paraId="423D6BB7">
      <w:pPr>
        <w:pStyle w:val="30"/>
        <w:spacing w:line="360" w:lineRule="exact"/>
        <w:ind w:firstLine="420"/>
        <w:rPr>
          <w:rFonts w:ascii="Times New Roman"/>
        </w:rPr>
      </w:pPr>
      <w:r>
        <w:rPr>
          <w:rFonts w:hint="eastAsia" w:ascii="Times New Roman"/>
        </w:rPr>
        <w:t>——删除了低速货车使用说明书要求，更改了使用说明书编印要求</w:t>
      </w:r>
      <w:bookmarkStart w:id="6" w:name="_GoBack"/>
      <w:bookmarkEnd w:id="6"/>
      <w:r>
        <w:rPr>
          <w:rFonts w:hint="eastAsia" w:ascii="Times New Roman"/>
        </w:rPr>
        <w:t>（见5.4，2008年版6.4）</w:t>
      </w:r>
    </w:p>
    <w:p w14:paraId="42813C8C">
      <w:pPr>
        <w:pStyle w:val="30"/>
        <w:spacing w:line="360" w:lineRule="exact"/>
        <w:ind w:firstLine="420"/>
        <w:rPr>
          <w:rFonts w:ascii="Times New Roman"/>
        </w:rPr>
      </w:pPr>
      <w:r>
        <w:rPr>
          <w:rFonts w:hint="eastAsia" w:ascii="Times New Roman"/>
        </w:rPr>
        <w:t>——删除了一般要求的判定，增加了整车要求测量方法（见6.1，2008年版5.1）；</w:t>
      </w:r>
    </w:p>
    <w:p w14:paraId="162418F3">
      <w:pPr>
        <w:pStyle w:val="30"/>
        <w:spacing w:line="360" w:lineRule="exact"/>
        <w:ind w:firstLine="420"/>
        <w:rPr>
          <w:rFonts w:ascii="Times New Roman"/>
        </w:rPr>
      </w:pPr>
      <w:r>
        <w:rPr>
          <w:rFonts w:hint="eastAsia" w:ascii="Times New Roman"/>
        </w:rPr>
        <w:t>——增加了</w:t>
      </w:r>
      <w:r>
        <w:rPr>
          <w:rFonts w:ascii="Times New Roman"/>
        </w:rPr>
        <w:t>排半驾驶室的三轮汽车座椅后部</w:t>
      </w:r>
      <w:r>
        <w:rPr>
          <w:rFonts w:hint="eastAsia" w:ascii="Times New Roman"/>
        </w:rPr>
        <w:t>空间测量方法（见6.2.1，2008年版5.2.1）；</w:t>
      </w:r>
    </w:p>
    <w:p w14:paraId="0CF50A9E">
      <w:pPr>
        <w:pStyle w:val="30"/>
        <w:spacing w:line="360" w:lineRule="exact"/>
        <w:ind w:firstLine="420"/>
        <w:rPr>
          <w:rFonts w:ascii="Times New Roman"/>
        </w:rPr>
      </w:pPr>
      <w:r>
        <w:rPr>
          <w:rFonts w:hint="eastAsia" w:ascii="Times New Roman"/>
        </w:rPr>
        <w:t>——增加了座椅尺寸测量方法（见6.2.2，2008年版5.2.2）；</w:t>
      </w:r>
    </w:p>
    <w:p w14:paraId="652F5EA0">
      <w:pPr>
        <w:pStyle w:val="30"/>
        <w:spacing w:line="360" w:lineRule="exact"/>
        <w:ind w:firstLine="420"/>
        <w:rPr>
          <w:rFonts w:ascii="Times New Roman"/>
        </w:rPr>
      </w:pPr>
      <w:r>
        <w:rPr>
          <w:rFonts w:hint="eastAsia" w:ascii="Times New Roman"/>
        </w:rPr>
        <w:t>——增加了</w:t>
      </w:r>
      <w:r>
        <w:rPr>
          <w:rFonts w:ascii="Times New Roman"/>
        </w:rPr>
        <w:t>转向盘（方向把）</w:t>
      </w:r>
      <w:r>
        <w:rPr>
          <w:rFonts w:hint="eastAsia" w:ascii="Times New Roman"/>
        </w:rPr>
        <w:t>偏置量、</w:t>
      </w:r>
      <w:r>
        <w:rPr>
          <w:rFonts w:ascii="Times New Roman"/>
        </w:rPr>
        <w:t>与相邻部件之间的间隙</w:t>
      </w:r>
      <w:r>
        <w:rPr>
          <w:rFonts w:hint="eastAsia" w:ascii="Times New Roman"/>
        </w:rPr>
        <w:t>的测量方法（见6.2.3，2008年版5.2.3）；</w:t>
      </w:r>
    </w:p>
    <w:p w14:paraId="527B6FAE">
      <w:pPr>
        <w:pStyle w:val="30"/>
        <w:spacing w:line="360" w:lineRule="exact"/>
        <w:ind w:firstLine="420"/>
        <w:rPr>
          <w:rFonts w:ascii="Times New Roman"/>
        </w:rPr>
      </w:pPr>
      <w:r>
        <w:rPr>
          <w:rFonts w:hint="eastAsia" w:ascii="Times New Roman"/>
        </w:rPr>
        <w:t>——增加了</w:t>
      </w:r>
      <w:r>
        <w:rPr>
          <w:rFonts w:hint="eastAsia"/>
        </w:rPr>
        <w:t>手动操纵机构的周围间隙的测量方法</w:t>
      </w:r>
      <w:r>
        <w:rPr>
          <w:rFonts w:hint="eastAsia" w:ascii="Times New Roman"/>
        </w:rPr>
        <w:t>（见6.2.4，2008年版5.2.4）；</w:t>
      </w:r>
    </w:p>
    <w:p w14:paraId="11088BF6">
      <w:pPr>
        <w:pStyle w:val="30"/>
        <w:spacing w:line="360" w:lineRule="exact"/>
        <w:ind w:firstLine="420"/>
        <w:rPr>
          <w:rFonts w:ascii="Times New Roman"/>
        </w:rPr>
      </w:pPr>
      <w:r>
        <w:rPr>
          <w:rFonts w:hint="eastAsia" w:ascii="Times New Roman"/>
        </w:rPr>
        <w:t>——增加了</w:t>
      </w:r>
      <w:r>
        <w:rPr>
          <w:rFonts w:ascii="Times New Roman"/>
        </w:rPr>
        <w:t>进出驾驶座位的通道</w:t>
      </w:r>
      <w:r>
        <w:rPr>
          <w:rFonts w:hint="eastAsia" w:ascii="Times New Roman"/>
        </w:rPr>
        <w:t>测量方法（见6.2.5，2008年版5.2.5）；</w:t>
      </w:r>
    </w:p>
    <w:p w14:paraId="51DCFE2E">
      <w:pPr>
        <w:pStyle w:val="30"/>
        <w:spacing w:line="360" w:lineRule="exact"/>
        <w:ind w:firstLine="420"/>
        <w:rPr>
          <w:rFonts w:ascii="Times New Roman"/>
        </w:rPr>
      </w:pPr>
      <w:r>
        <w:rPr>
          <w:rFonts w:hint="eastAsia" w:ascii="Times New Roman"/>
        </w:rPr>
        <w:t>——更改</w:t>
      </w:r>
      <w:r>
        <w:rPr>
          <w:rFonts w:hint="eastAsia"/>
        </w:rPr>
        <w:t>了</w:t>
      </w:r>
      <w:r>
        <w:t>车身、车门和车窗</w:t>
      </w:r>
      <w:r>
        <w:rPr>
          <w:rFonts w:hint="eastAsia"/>
        </w:rPr>
        <w:t>测量方法（</w:t>
      </w:r>
      <w:r>
        <w:rPr>
          <w:rFonts w:hint="eastAsia" w:ascii="Times New Roman"/>
        </w:rPr>
        <w:t>见6.2.6，2008年版5.2.6）；</w:t>
      </w:r>
    </w:p>
    <w:p w14:paraId="263591A7">
      <w:pPr>
        <w:pStyle w:val="30"/>
        <w:spacing w:line="360" w:lineRule="exact"/>
        <w:ind w:firstLine="420"/>
        <w:rPr>
          <w:rFonts w:ascii="Times New Roman"/>
        </w:rPr>
      </w:pPr>
      <w:r>
        <w:rPr>
          <w:rFonts w:hint="eastAsia" w:ascii="Times New Roman"/>
        </w:rPr>
        <w:t>——更改了</w:t>
      </w:r>
      <w:r>
        <w:rPr>
          <w:rFonts w:ascii="Times New Roman"/>
          <w:szCs w:val="21"/>
        </w:rPr>
        <w:t>转向轮</w:t>
      </w:r>
      <w:r>
        <w:rPr>
          <w:rFonts w:hint="eastAsia" w:ascii="Times New Roman"/>
          <w:szCs w:val="21"/>
        </w:rPr>
        <w:t>轴荷比的测量方法</w:t>
      </w:r>
      <w:r>
        <w:rPr>
          <w:rFonts w:hint="eastAsia" w:ascii="Times New Roman"/>
        </w:rPr>
        <w:t>（见6.3.2，2008年版5.3.2）；</w:t>
      </w:r>
    </w:p>
    <w:p w14:paraId="70B24783">
      <w:pPr>
        <w:pStyle w:val="30"/>
        <w:spacing w:line="360" w:lineRule="exact"/>
        <w:ind w:firstLine="420"/>
        <w:rPr>
          <w:rFonts w:ascii="Times New Roman"/>
        </w:rPr>
      </w:pPr>
      <w:r>
        <w:rPr>
          <w:rFonts w:hint="eastAsia" w:ascii="Times New Roman"/>
        </w:rPr>
        <w:t>——删除了低速货车转向系测量方法，更改了</w:t>
      </w:r>
      <w:r>
        <w:rPr>
          <w:rFonts w:ascii="Times New Roman"/>
          <w:szCs w:val="21"/>
        </w:rPr>
        <w:t>转向盘的最大自由转动量</w:t>
      </w:r>
      <w:r>
        <w:rPr>
          <w:rFonts w:hint="eastAsia" w:ascii="Times New Roman"/>
          <w:szCs w:val="21"/>
        </w:rPr>
        <w:t>、</w:t>
      </w:r>
      <w:r>
        <w:rPr>
          <w:rFonts w:ascii="Times New Roman"/>
          <w:szCs w:val="21"/>
        </w:rPr>
        <w:t>转向盘外缘的最大切向力</w:t>
      </w:r>
      <w:r>
        <w:rPr>
          <w:rFonts w:hint="eastAsia" w:ascii="Times New Roman"/>
          <w:szCs w:val="21"/>
        </w:rPr>
        <w:t>测量方法，增加了</w:t>
      </w:r>
      <w:r>
        <w:rPr>
          <w:rFonts w:ascii="Times New Roman"/>
          <w:szCs w:val="21"/>
        </w:rPr>
        <w:t>转向限位装置</w:t>
      </w:r>
      <w:r>
        <w:rPr>
          <w:rFonts w:hint="eastAsia" w:ascii="Times New Roman"/>
          <w:szCs w:val="21"/>
        </w:rPr>
        <w:t>扭矩测量方法</w:t>
      </w:r>
      <w:r>
        <w:rPr>
          <w:rFonts w:hint="eastAsia" w:ascii="Times New Roman"/>
        </w:rPr>
        <w:t>（见6.4.2，2008年版5.4.2）；</w:t>
      </w:r>
    </w:p>
    <w:p w14:paraId="69880FC3">
      <w:pPr>
        <w:pStyle w:val="30"/>
        <w:spacing w:line="360" w:lineRule="exact"/>
        <w:ind w:firstLine="420"/>
        <w:rPr>
          <w:rFonts w:ascii="Times New Roman"/>
        </w:rPr>
      </w:pPr>
      <w:r>
        <w:rPr>
          <w:rFonts w:hint="eastAsia" w:ascii="Times New Roman"/>
        </w:rPr>
        <w:t>——删除了低速货车制动系测量方法，增加了气压制动系统</w:t>
      </w:r>
      <w:r>
        <w:rPr>
          <w:rFonts w:ascii="Times New Roman"/>
          <w:szCs w:val="21"/>
        </w:rPr>
        <w:t>制动气室响应时间</w:t>
      </w:r>
      <w:r>
        <w:rPr>
          <w:rFonts w:hint="eastAsia" w:ascii="Times New Roman"/>
          <w:szCs w:val="21"/>
        </w:rPr>
        <w:t>的测量方法，更改了</w:t>
      </w:r>
      <w:r>
        <w:rPr>
          <w:rFonts w:ascii="Times New Roman"/>
          <w:szCs w:val="21"/>
        </w:rPr>
        <w:t>路试行车制动性能和驻车制动性能</w:t>
      </w:r>
      <w:r>
        <w:rPr>
          <w:rFonts w:hint="eastAsia" w:ascii="Times New Roman"/>
          <w:szCs w:val="21"/>
        </w:rPr>
        <w:t>测量方法</w:t>
      </w:r>
      <w:r>
        <w:rPr>
          <w:rFonts w:hint="eastAsia" w:ascii="Times New Roman"/>
        </w:rPr>
        <w:t>（见6.4.3，2008年版5.4.3）；</w:t>
      </w:r>
    </w:p>
    <w:p w14:paraId="737D3734">
      <w:pPr>
        <w:pStyle w:val="30"/>
        <w:spacing w:line="360" w:lineRule="exact"/>
        <w:ind w:firstLine="420"/>
        <w:rPr>
          <w:rFonts w:ascii="Times New Roman"/>
        </w:rPr>
      </w:pPr>
      <w:r>
        <w:rPr>
          <w:rFonts w:hint="eastAsia" w:ascii="Times New Roman"/>
        </w:rPr>
        <w:t>——删除了低速货车传动系测量方法，更改了离合器及其操纵力的测量方法，增加了限速装置的测量方法（见6.4.5，2008年版5.4.5）；</w:t>
      </w:r>
    </w:p>
    <w:p w14:paraId="4CE39C26">
      <w:pPr>
        <w:pStyle w:val="30"/>
        <w:spacing w:line="360" w:lineRule="exact"/>
        <w:ind w:firstLine="420"/>
        <w:rPr>
          <w:rFonts w:ascii="Times New Roman"/>
        </w:rPr>
      </w:pPr>
      <w:r>
        <w:rPr>
          <w:rFonts w:hint="eastAsia" w:ascii="Times New Roman"/>
        </w:rPr>
        <w:t>——删除了低速货车</w:t>
      </w:r>
      <w:r>
        <w:rPr>
          <w:rFonts w:ascii="Times New Roman"/>
        </w:rPr>
        <w:t>照明、信号装置和其他电气设备</w:t>
      </w:r>
      <w:r>
        <w:rPr>
          <w:rFonts w:hint="eastAsia" w:ascii="Times New Roman"/>
        </w:rPr>
        <w:t>测量方法，增加了前照灯、</w:t>
      </w:r>
      <w:r>
        <w:rPr>
          <w:rFonts w:ascii="Times New Roman"/>
        </w:rPr>
        <w:t>转向信号灯</w:t>
      </w:r>
      <w:r>
        <w:rPr>
          <w:rFonts w:hint="eastAsia" w:ascii="Times New Roman"/>
        </w:rPr>
        <w:t>、倒车灯、</w:t>
      </w:r>
      <w:r>
        <w:rPr>
          <w:rFonts w:ascii="Times New Roman"/>
        </w:rPr>
        <w:t>回复反射器</w:t>
      </w:r>
      <w:r>
        <w:rPr>
          <w:rFonts w:hint="eastAsia" w:ascii="Times New Roman"/>
        </w:rPr>
        <w:t>等配光性能测试方法（见6.5，2008年版5.5）；</w:t>
      </w:r>
    </w:p>
    <w:p w14:paraId="41897FEF">
      <w:pPr>
        <w:pStyle w:val="30"/>
        <w:spacing w:line="360" w:lineRule="exact"/>
        <w:ind w:firstLine="420"/>
        <w:rPr>
          <w:rFonts w:ascii="Times New Roman"/>
        </w:rPr>
      </w:pPr>
      <w:r>
        <w:rPr>
          <w:rFonts w:hint="eastAsia" w:ascii="Times New Roman"/>
        </w:rPr>
        <w:t>——删除了低速货车安全防护装置测量方法（见6.6，2008年版5.6）；</w:t>
      </w:r>
    </w:p>
    <w:p w14:paraId="024D957D">
      <w:pPr>
        <w:pStyle w:val="30"/>
        <w:spacing w:line="360" w:lineRule="exact"/>
        <w:ind w:firstLine="420"/>
        <w:rPr>
          <w:rFonts w:ascii="Times New Roman"/>
        </w:rPr>
      </w:pPr>
      <w:r>
        <w:rPr>
          <w:rFonts w:hint="eastAsia" w:ascii="Times New Roman"/>
        </w:rPr>
        <w:t>——删除了低速货车热防护测量方法（见6.8，2008年版5.8）；</w:t>
      </w:r>
    </w:p>
    <w:p w14:paraId="2EB5D141">
      <w:pPr>
        <w:pStyle w:val="30"/>
        <w:spacing w:line="360" w:lineRule="exact"/>
        <w:ind w:firstLine="420"/>
        <w:rPr>
          <w:rFonts w:ascii="Times New Roman"/>
        </w:rPr>
      </w:pPr>
      <w:r>
        <w:rPr>
          <w:rFonts w:hint="eastAsia" w:ascii="Times New Roman"/>
        </w:rPr>
        <w:t>——删除了低速货车车速测量方法，更改了</w:t>
      </w:r>
      <w:r>
        <w:rPr>
          <w:rFonts w:ascii="Times New Roman"/>
          <w:szCs w:val="21"/>
        </w:rPr>
        <w:t>三轮汽车的实际最大行驶速度</w:t>
      </w:r>
      <w:r>
        <w:rPr>
          <w:rFonts w:hint="eastAsia" w:ascii="Times New Roman"/>
          <w:szCs w:val="21"/>
        </w:rPr>
        <w:t>的测量方法，增加了</w:t>
      </w:r>
      <w:r>
        <w:rPr>
          <w:rFonts w:ascii="Times New Roman"/>
          <w:szCs w:val="21"/>
        </w:rPr>
        <w:t>路试检测车速表误差</w:t>
      </w:r>
      <w:r>
        <w:rPr>
          <w:rFonts w:hint="eastAsia" w:ascii="Times New Roman"/>
          <w:szCs w:val="21"/>
        </w:rPr>
        <w:t>测量方法</w:t>
      </w:r>
      <w:r>
        <w:rPr>
          <w:rFonts w:hint="eastAsia" w:ascii="Times New Roman"/>
        </w:rPr>
        <w:t>（见6.1</w:t>
      </w:r>
      <w:r>
        <w:rPr>
          <w:rFonts w:hint="eastAsia" w:ascii="Times New Roman"/>
          <w:lang w:val="en-US" w:eastAsia="zh-CN"/>
        </w:rPr>
        <w:t>0</w:t>
      </w:r>
      <w:r>
        <w:rPr>
          <w:rFonts w:hint="eastAsia" w:ascii="Times New Roman"/>
        </w:rPr>
        <w:t>，2008年版5.10）；</w:t>
      </w:r>
    </w:p>
    <w:p w14:paraId="47392252">
      <w:pPr>
        <w:pStyle w:val="30"/>
        <w:spacing w:line="360" w:lineRule="exact"/>
        <w:ind w:firstLine="420"/>
        <w:rPr>
          <w:rFonts w:ascii="Times New Roman"/>
        </w:rPr>
      </w:pPr>
      <w:r>
        <w:rPr>
          <w:rFonts w:hint="eastAsia" w:ascii="Times New Roman"/>
        </w:rPr>
        <w:t>——删除了低速货车</w:t>
      </w:r>
      <w:r>
        <w:rPr>
          <w:rFonts w:ascii="Times New Roman"/>
          <w:szCs w:val="21"/>
        </w:rPr>
        <w:t>最大允许总质量和外廓尺寸</w:t>
      </w:r>
      <w:r>
        <w:rPr>
          <w:rFonts w:hint="eastAsia" w:ascii="Times New Roman"/>
          <w:szCs w:val="21"/>
        </w:rPr>
        <w:t>测量方法，</w:t>
      </w:r>
      <w:r>
        <w:rPr>
          <w:rFonts w:hint="eastAsia" w:ascii="Times New Roman"/>
        </w:rPr>
        <w:t>更改了三轮汽车</w:t>
      </w:r>
      <w:r>
        <w:rPr>
          <w:rFonts w:ascii="Times New Roman"/>
          <w:szCs w:val="21"/>
        </w:rPr>
        <w:t>最大允许总质量和外廓尺寸</w:t>
      </w:r>
      <w:r>
        <w:rPr>
          <w:rFonts w:hint="eastAsia" w:ascii="Times New Roman"/>
          <w:szCs w:val="21"/>
        </w:rPr>
        <w:t>测量方法</w:t>
      </w:r>
      <w:r>
        <w:rPr>
          <w:rFonts w:hint="eastAsia" w:ascii="Times New Roman"/>
        </w:rPr>
        <w:t>（见6.1</w:t>
      </w:r>
      <w:r>
        <w:rPr>
          <w:rFonts w:hint="eastAsia" w:ascii="Times New Roman"/>
          <w:lang w:val="en-US" w:eastAsia="zh-CN"/>
        </w:rPr>
        <w:t>1</w:t>
      </w:r>
      <w:r>
        <w:rPr>
          <w:rFonts w:hint="eastAsia" w:ascii="Times New Roman"/>
        </w:rPr>
        <w:t>，2008年版5.11）；</w:t>
      </w:r>
    </w:p>
    <w:p w14:paraId="15876ADC">
      <w:pPr>
        <w:pStyle w:val="30"/>
        <w:spacing w:line="360" w:lineRule="exact"/>
        <w:ind w:firstLine="420"/>
        <w:rPr>
          <w:rFonts w:ascii="Times New Roman"/>
        </w:rPr>
      </w:pPr>
      <w:r>
        <w:rPr>
          <w:rFonts w:hint="eastAsia" w:ascii="Times New Roman"/>
        </w:rPr>
        <w:t>——删除了低速货车噪声测量方法（见6.1</w:t>
      </w:r>
      <w:r>
        <w:rPr>
          <w:rFonts w:hint="eastAsia" w:ascii="Times New Roman"/>
          <w:lang w:val="en-US" w:eastAsia="zh-CN"/>
        </w:rPr>
        <w:t>2</w:t>
      </w:r>
      <w:r>
        <w:rPr>
          <w:rFonts w:hint="eastAsia" w:ascii="Times New Roman"/>
        </w:rPr>
        <w:t>，2008年版5.12）；</w:t>
      </w:r>
    </w:p>
    <w:p w14:paraId="48377F5B">
      <w:pPr>
        <w:pStyle w:val="30"/>
        <w:spacing w:line="360" w:lineRule="exact"/>
        <w:ind w:firstLine="420"/>
        <w:rPr>
          <w:rFonts w:ascii="Times New Roman"/>
        </w:rPr>
      </w:pPr>
      <w:r>
        <w:rPr>
          <w:rFonts w:hint="eastAsia" w:ascii="Times New Roman"/>
        </w:rPr>
        <w:t>——删除了低速货车排气管、自由加速烟度、排气污染物测量方法，更改了三轮汽车自由加速烟度测量方法（见6.1</w:t>
      </w:r>
      <w:r>
        <w:rPr>
          <w:rFonts w:hint="eastAsia" w:ascii="Times New Roman"/>
          <w:lang w:val="en-US" w:eastAsia="zh-CN"/>
        </w:rPr>
        <w:t>3</w:t>
      </w:r>
      <w:r>
        <w:rPr>
          <w:rFonts w:hint="eastAsia" w:ascii="Times New Roman"/>
        </w:rPr>
        <w:t>，2008年版5.13）；</w:t>
      </w:r>
    </w:p>
    <w:p w14:paraId="10A0CC4E">
      <w:pPr>
        <w:pStyle w:val="30"/>
        <w:spacing w:line="360" w:lineRule="exact"/>
        <w:ind w:firstLine="420"/>
        <w:rPr>
          <w:rFonts w:ascii="Times New Roman"/>
        </w:rPr>
      </w:pPr>
      <w:r>
        <w:rPr>
          <w:rFonts w:hint="eastAsia" w:ascii="Times New Roman"/>
        </w:rPr>
        <w:t>——增加了安装柴油发动机</w:t>
      </w:r>
      <w:r>
        <w:rPr>
          <w:rFonts w:ascii="Times New Roman"/>
        </w:rPr>
        <w:t>三轮汽车</w:t>
      </w:r>
      <w:r>
        <w:rPr>
          <w:rFonts w:hint="eastAsia" w:ascii="Times New Roman"/>
        </w:rPr>
        <w:t>的燃料消耗量测量方法（见6.1</w:t>
      </w:r>
      <w:r>
        <w:rPr>
          <w:rFonts w:hint="eastAsia" w:ascii="Times New Roman"/>
          <w:lang w:val="en-US" w:eastAsia="zh-CN"/>
        </w:rPr>
        <w:t>4</w:t>
      </w:r>
      <w:r>
        <w:rPr>
          <w:rFonts w:hint="eastAsia" w:ascii="Times New Roman"/>
        </w:rPr>
        <w:t>）；</w:t>
      </w:r>
    </w:p>
    <w:p w14:paraId="1F7C64E7">
      <w:pPr>
        <w:pStyle w:val="30"/>
        <w:spacing w:line="360" w:lineRule="exact"/>
        <w:ind w:firstLine="420"/>
        <w:rPr>
          <w:rFonts w:ascii="Times New Roman"/>
        </w:rPr>
      </w:pPr>
      <w:r>
        <w:rPr>
          <w:rFonts w:hint="eastAsia" w:ascii="Times New Roman"/>
        </w:rPr>
        <w:t>——增加了使用信息测量方法，修改了安全标志的测量方法（见6.1</w:t>
      </w:r>
      <w:r>
        <w:rPr>
          <w:rFonts w:hint="eastAsia" w:ascii="Times New Roman"/>
          <w:lang w:val="en-US" w:eastAsia="zh-CN"/>
        </w:rPr>
        <w:t>5</w:t>
      </w:r>
      <w:r>
        <w:rPr>
          <w:rFonts w:hint="eastAsia" w:ascii="Times New Roman"/>
        </w:rPr>
        <w:t>，2008年版第6章）；</w:t>
      </w:r>
    </w:p>
    <w:p w14:paraId="67D62AE0">
      <w:pPr>
        <w:pStyle w:val="30"/>
        <w:spacing w:line="360" w:lineRule="exact"/>
        <w:ind w:firstLine="420"/>
        <w:rPr>
          <w:rFonts w:ascii="Times New Roman"/>
        </w:rPr>
      </w:pPr>
      <w:r>
        <w:rPr>
          <w:rFonts w:hint="eastAsia" w:ascii="Times New Roman"/>
        </w:rPr>
        <w:t>——增加了三轮汽车用安全标志的规范性要求（见附录A）；</w:t>
      </w:r>
    </w:p>
    <w:p w14:paraId="1F30C3C4">
      <w:pPr>
        <w:pStyle w:val="30"/>
        <w:spacing w:line="360" w:lineRule="exact"/>
        <w:ind w:firstLine="420"/>
        <w:rPr>
          <w:rFonts w:ascii="Times New Roman"/>
        </w:rPr>
      </w:pPr>
      <w:r>
        <w:rPr>
          <w:rFonts w:hint="eastAsia" w:ascii="Times New Roman"/>
        </w:rPr>
        <w:t>——增加了气压系统制动响应时间测量方法（附录B）。</w:t>
      </w:r>
    </w:p>
    <w:p w14:paraId="450FE91C">
      <w:pPr>
        <w:pStyle w:val="30"/>
        <w:spacing w:line="360" w:lineRule="exact"/>
        <w:ind w:firstLine="420"/>
        <w:rPr>
          <w:rFonts w:ascii="Times New Roman"/>
        </w:rPr>
      </w:pPr>
      <w:r>
        <w:rPr>
          <w:rFonts w:ascii="Times New Roman"/>
          <w:szCs w:val="21"/>
        </w:rPr>
        <w:t>请注意本文件的某些内容可能涉及专利。本文件的发布机构不承担识别专利的责任。</w:t>
      </w:r>
    </w:p>
    <w:p w14:paraId="6F69CFFE">
      <w:pPr>
        <w:pStyle w:val="30"/>
        <w:spacing w:line="360" w:lineRule="exact"/>
        <w:ind w:firstLine="420"/>
        <w:rPr>
          <w:rFonts w:ascii="Times New Roman"/>
        </w:rPr>
      </w:pPr>
      <w:r>
        <w:rPr>
          <w:rFonts w:ascii="Times New Roman"/>
        </w:rPr>
        <w:t>本文件由中华人民共和国工业和信息化部提出</w:t>
      </w:r>
      <w:r>
        <w:rPr>
          <w:rFonts w:hint="eastAsia" w:ascii="Times New Roman"/>
        </w:rPr>
        <w:t>并归口</w:t>
      </w:r>
      <w:r>
        <w:rPr>
          <w:rFonts w:ascii="Times New Roman"/>
        </w:rPr>
        <w:t>。</w:t>
      </w:r>
    </w:p>
    <w:p w14:paraId="2BC462CE">
      <w:pPr>
        <w:pStyle w:val="30"/>
        <w:spacing w:line="360" w:lineRule="exact"/>
        <w:ind w:firstLine="420"/>
        <w:rPr>
          <w:rFonts w:ascii="Times New Roman"/>
          <w:szCs w:val="21"/>
        </w:rPr>
      </w:pPr>
      <w:r>
        <w:rPr>
          <w:rFonts w:ascii="Times New Roman"/>
          <w:szCs w:val="21"/>
        </w:rPr>
        <w:t>本文件及其所代替文件的历次版本发布情况为：</w:t>
      </w:r>
    </w:p>
    <w:p w14:paraId="7EED618C">
      <w:pPr>
        <w:spacing w:line="360" w:lineRule="exact"/>
        <w:ind w:firstLine="420" w:firstLineChars="200"/>
        <w:rPr>
          <w:szCs w:val="21"/>
        </w:rPr>
      </w:pPr>
      <w:r>
        <w:t>——</w:t>
      </w:r>
      <w:r>
        <w:rPr>
          <w:szCs w:val="21"/>
        </w:rPr>
        <w:t>2001年首次发布为GB 18320—2001，2008年第一次修订为GB 18320—2008；</w:t>
      </w:r>
    </w:p>
    <w:p w14:paraId="68497874">
      <w:pPr>
        <w:spacing w:line="360" w:lineRule="exact"/>
        <w:ind w:firstLine="420" w:firstLineChars="200"/>
        <w:rPr>
          <w:szCs w:val="21"/>
        </w:rPr>
      </w:pPr>
      <w:r>
        <w:rPr>
          <w:szCs w:val="21"/>
        </w:rPr>
        <w:t>——2010年首次发布为GB 24943-2010；</w:t>
      </w:r>
    </w:p>
    <w:p w14:paraId="6059E839">
      <w:pPr>
        <w:spacing w:line="400" w:lineRule="exact"/>
        <w:ind w:firstLine="435"/>
        <w:rPr>
          <w:rFonts w:eastAsia="黑体"/>
          <w:b/>
        </w:rPr>
      </w:pPr>
      <w:r>
        <w:rPr>
          <w:szCs w:val="21"/>
        </w:rPr>
        <w:t>——本次为GB 18320与GB 24943的整合修订。</w:t>
      </w:r>
    </w:p>
    <w:p w14:paraId="3D115AE0"/>
    <w:p w14:paraId="5B042519">
      <w:pPr>
        <w:pStyle w:val="30"/>
        <w:spacing w:line="400" w:lineRule="exact"/>
        <w:ind w:firstLine="420"/>
        <w:rPr>
          <w:rFonts w:ascii="Times New Roman"/>
        </w:rPr>
        <w:sectPr>
          <w:headerReference r:id="rId8" w:type="default"/>
          <w:footerReference r:id="rId10" w:type="default"/>
          <w:headerReference r:id="rId9" w:type="even"/>
          <w:footerReference r:id="rId11" w:type="even"/>
          <w:pgSz w:w="11907" w:h="16839"/>
          <w:pgMar w:top="1418" w:right="1134" w:bottom="1134" w:left="1418" w:header="1418" w:footer="851" w:gutter="0"/>
          <w:pgNumType w:fmt="upperRoman" w:start="1"/>
          <w:cols w:space="720" w:num="1"/>
          <w:docGrid w:type="lines" w:linePitch="312" w:charSpace="0"/>
        </w:sectPr>
      </w:pPr>
    </w:p>
    <w:bookmarkEnd w:id="1"/>
    <w:p w14:paraId="46FBE1E5">
      <w:pPr>
        <w:pStyle w:val="60"/>
        <w:spacing w:before="240" w:after="120"/>
        <w:rPr>
          <w:sz w:val="36"/>
          <w:szCs w:val="36"/>
        </w:rPr>
      </w:pPr>
      <w:bookmarkStart w:id="3" w:name="SectionMark4"/>
      <w:r>
        <w:rPr>
          <w:sz w:val="36"/>
          <w:szCs w:val="36"/>
        </w:rPr>
        <w:t>三轮汽车  安全技术规范</w:t>
      </w:r>
    </w:p>
    <w:p w14:paraId="23198FFF">
      <w:pPr>
        <w:pStyle w:val="32"/>
        <w:numPr>
          <w:ilvl w:val="0"/>
          <w:numId w:val="0"/>
        </w:numPr>
        <w:spacing w:before="312" w:beforeLines="100" w:after="312" w:afterLines="100" w:line="360" w:lineRule="exact"/>
        <w:rPr>
          <w:rFonts w:hAnsi="黑体"/>
        </w:rPr>
      </w:pPr>
      <w:bookmarkStart w:id="4" w:name="_Toc12159189"/>
      <w:r>
        <w:rPr>
          <w:rFonts w:hAnsi="黑体"/>
        </w:rPr>
        <w:t>1  范围</w:t>
      </w:r>
      <w:bookmarkEnd w:id="4"/>
    </w:p>
    <w:p w14:paraId="6E8C2358">
      <w:pPr>
        <w:spacing w:line="360" w:lineRule="exact"/>
        <w:ind w:firstLine="425"/>
      </w:pPr>
      <w:r>
        <w:t>本文件规定了三轮汽车的安全要求</w:t>
      </w:r>
      <w:r>
        <w:rPr>
          <w:rFonts w:hint="eastAsia"/>
        </w:rPr>
        <w:t>、使用信息和</w:t>
      </w:r>
      <w:r>
        <w:t>安全要求的判定。</w:t>
      </w:r>
    </w:p>
    <w:p w14:paraId="0882EA6B">
      <w:pPr>
        <w:spacing w:line="360" w:lineRule="exact"/>
        <w:ind w:firstLine="425"/>
      </w:pPr>
      <w:r>
        <w:t>本文件适用于三轮汽车的设计、制造及检验检测。</w:t>
      </w:r>
    </w:p>
    <w:p w14:paraId="717D5998">
      <w:pPr>
        <w:pStyle w:val="32"/>
        <w:numPr>
          <w:ilvl w:val="0"/>
          <w:numId w:val="0"/>
        </w:numPr>
        <w:spacing w:before="312" w:beforeLines="100" w:after="312" w:afterLines="100" w:line="360" w:lineRule="exact"/>
        <w:rPr>
          <w:rFonts w:hAnsi="黑体"/>
        </w:rPr>
      </w:pPr>
      <w:bookmarkStart w:id="5" w:name="_Toc12159190"/>
      <w:r>
        <w:rPr>
          <w:rFonts w:hAnsi="黑体"/>
        </w:rPr>
        <w:t>2  规范性引用文件</w:t>
      </w:r>
      <w:bookmarkEnd w:id="5"/>
    </w:p>
    <w:p w14:paraId="6E70C9B0">
      <w:pPr>
        <w:pStyle w:val="8"/>
        <w:spacing w:line="360" w:lineRule="exact"/>
        <w:ind w:right="105" w:rightChars="50"/>
        <w:rPr>
          <w:rFonts w:ascii="宋体" w:hAnsi="宋体"/>
        </w:rPr>
      </w:pPr>
      <w:r>
        <w:rPr>
          <w:rFonts w:hint="eastAsia" w:ascii="宋体" w:hAnsi="宋体"/>
        </w:rPr>
        <w:t>下列文件对于本文件的应用是必不可少的。凡是注日期的引用文件，仅所注日期的版本适用于本文件。凡是不注日期的引用文件，其最新版本（包括所有的修改单）适用于本文件。</w:t>
      </w:r>
    </w:p>
    <w:p w14:paraId="5B06C3C9">
      <w:pPr>
        <w:adjustRightInd w:val="0"/>
        <w:spacing w:line="360" w:lineRule="exact"/>
        <w:ind w:right="105" w:rightChars="50" w:firstLine="420" w:firstLineChars="200"/>
        <w:rPr>
          <w:rFonts w:ascii="宋体" w:hAnsi="宋体"/>
        </w:rPr>
      </w:pPr>
      <w:r>
        <w:rPr>
          <w:rFonts w:hint="eastAsia" w:ascii="宋体" w:hAnsi="宋体"/>
        </w:rPr>
        <w:t xml:space="preserve">GB 1589  </w:t>
      </w:r>
      <w:r>
        <w:rPr>
          <w:rFonts w:ascii="宋体" w:hAnsi="宋体"/>
        </w:rPr>
        <w:t>汽车、挂车及汽车列车外廓尺寸、轴荷及质量限值</w:t>
      </w:r>
    </w:p>
    <w:p w14:paraId="536B7BB1">
      <w:pPr>
        <w:adjustRightInd w:val="0"/>
        <w:spacing w:line="360" w:lineRule="exact"/>
        <w:ind w:right="105" w:rightChars="50" w:firstLine="420" w:firstLineChars="200"/>
        <w:rPr>
          <w:rFonts w:ascii="宋体" w:hAnsi="宋体"/>
        </w:rPr>
      </w:pPr>
      <w:r>
        <w:rPr>
          <w:rFonts w:ascii="宋体" w:hAnsi="宋体"/>
        </w:rPr>
        <w:t>GB 8410  汽车内饰材料的燃烧特性</w:t>
      </w:r>
    </w:p>
    <w:p w14:paraId="4FAFA1B1">
      <w:pPr>
        <w:adjustRightInd w:val="0"/>
        <w:spacing w:line="360" w:lineRule="exact"/>
        <w:ind w:right="105" w:rightChars="50" w:firstLine="420" w:firstLineChars="200"/>
        <w:rPr>
          <w:rFonts w:ascii="宋体" w:hAnsi="宋体"/>
        </w:rPr>
      </w:pPr>
      <w:r>
        <w:rPr>
          <w:rFonts w:ascii="宋体" w:hAnsi="宋体"/>
        </w:rPr>
        <w:t xml:space="preserve">GB 9656  </w:t>
      </w:r>
      <w:r>
        <w:rPr>
          <w:rFonts w:hint="eastAsia" w:ascii="宋体" w:hAnsi="宋体"/>
        </w:rPr>
        <w:t>机动车</w:t>
      </w:r>
      <w:r>
        <w:rPr>
          <w:rFonts w:ascii="宋体" w:hAnsi="宋体"/>
        </w:rPr>
        <w:t>玻璃</w:t>
      </w:r>
      <w:r>
        <w:rPr>
          <w:rFonts w:hint="eastAsia" w:ascii="宋体" w:hAnsi="宋体"/>
        </w:rPr>
        <w:t>安全技术规范</w:t>
      </w:r>
    </w:p>
    <w:p w14:paraId="6A98AAC8">
      <w:pPr>
        <w:adjustRightInd w:val="0"/>
        <w:spacing w:line="360" w:lineRule="exact"/>
        <w:ind w:right="105" w:rightChars="50" w:firstLine="420" w:firstLineChars="200"/>
        <w:rPr>
          <w:rFonts w:ascii="宋体" w:hAnsi="宋体"/>
        </w:rPr>
      </w:pPr>
      <w:r>
        <w:rPr>
          <w:rFonts w:ascii="宋体" w:hAnsi="宋体"/>
        </w:rPr>
        <w:t>GB 10396—2006</w:t>
      </w:r>
      <w:r>
        <w:rPr>
          <w:rFonts w:hint="eastAsia" w:ascii="宋体" w:hAnsi="宋体"/>
        </w:rPr>
        <w:t xml:space="preserve">  </w:t>
      </w:r>
      <w:r>
        <w:rPr>
          <w:rFonts w:ascii="宋体" w:hAnsi="宋体"/>
        </w:rPr>
        <w:t>农林拖拉机和机械、草坪和园艺动力机械安全标志和危险图形总则</w:t>
      </w:r>
    </w:p>
    <w:p w14:paraId="054DC25F">
      <w:pPr>
        <w:adjustRightInd w:val="0"/>
        <w:spacing w:line="360" w:lineRule="exact"/>
        <w:ind w:right="105" w:rightChars="50" w:firstLine="420" w:firstLineChars="200"/>
        <w:rPr>
          <w:rFonts w:ascii="宋体" w:hAnsi="宋体"/>
        </w:rPr>
      </w:pPr>
      <w:r>
        <w:rPr>
          <w:rFonts w:ascii="宋体" w:hAnsi="宋体"/>
        </w:rPr>
        <w:t>GB 16735  道路车辆 车辆识别代号（VIN）</w:t>
      </w:r>
    </w:p>
    <w:p w14:paraId="66570F0D">
      <w:pPr>
        <w:adjustRightInd w:val="0"/>
        <w:spacing w:line="360" w:lineRule="exact"/>
        <w:ind w:right="105" w:rightChars="50" w:firstLine="420" w:firstLineChars="200"/>
        <w:rPr>
          <w:rFonts w:ascii="宋体" w:hAnsi="宋体"/>
        </w:rPr>
      </w:pPr>
      <w:r>
        <w:rPr>
          <w:rFonts w:ascii="宋体" w:hAnsi="宋体"/>
        </w:rPr>
        <w:t>GB/T 19118  三轮汽车和低速货车  噪声测量方法</w:t>
      </w:r>
    </w:p>
    <w:p w14:paraId="43EDF4F5">
      <w:pPr>
        <w:adjustRightInd w:val="0"/>
        <w:spacing w:line="360" w:lineRule="exact"/>
        <w:ind w:right="105" w:rightChars="50" w:firstLine="420" w:firstLineChars="200"/>
        <w:rPr>
          <w:rFonts w:ascii="宋体" w:hAnsi="宋体"/>
        </w:rPr>
      </w:pPr>
      <w:r>
        <w:rPr>
          <w:rFonts w:ascii="宋体" w:hAnsi="宋体"/>
        </w:rPr>
        <w:t>GB/T 19119  三轮汽车和低速货车  照明与信号装置的安装规定</w:t>
      </w:r>
    </w:p>
    <w:p w14:paraId="0D8CE88E">
      <w:pPr>
        <w:adjustRightInd w:val="0"/>
        <w:spacing w:line="360" w:lineRule="exact"/>
        <w:ind w:right="105" w:rightChars="50" w:firstLine="420" w:firstLineChars="200"/>
        <w:rPr>
          <w:rFonts w:ascii="宋体" w:hAnsi="宋体"/>
        </w:rPr>
      </w:pPr>
      <w:r>
        <w:rPr>
          <w:rFonts w:ascii="宋体" w:hAnsi="宋体"/>
        </w:rPr>
        <w:t>GB/T 19120  三轮汽车和低速货车  制动系统 结构、性能和试验方法</w:t>
      </w:r>
    </w:p>
    <w:p w14:paraId="4D376650">
      <w:pPr>
        <w:adjustRightInd w:val="0"/>
        <w:spacing w:line="360" w:lineRule="exact"/>
        <w:ind w:right="105" w:rightChars="50" w:firstLine="420" w:firstLineChars="200"/>
        <w:rPr>
          <w:rFonts w:ascii="宋体" w:hAnsi="宋体"/>
        </w:rPr>
      </w:pPr>
      <w:r>
        <w:rPr>
          <w:rFonts w:ascii="宋体" w:hAnsi="宋体"/>
        </w:rPr>
        <w:t>GB/T 19122  三轮汽车和低速货车  操纵件、指示器及信号装置的符号</w:t>
      </w:r>
    </w:p>
    <w:p w14:paraId="08F110BC">
      <w:pPr>
        <w:adjustRightInd w:val="0"/>
        <w:spacing w:line="360" w:lineRule="exact"/>
        <w:ind w:right="105" w:rightChars="50" w:firstLine="420" w:firstLineChars="200"/>
        <w:rPr>
          <w:rFonts w:ascii="宋体" w:hAnsi="宋体"/>
        </w:rPr>
      </w:pPr>
      <w:r>
        <w:rPr>
          <w:rFonts w:ascii="宋体" w:hAnsi="宋体"/>
        </w:rPr>
        <w:t>GB/T</w:t>
      </w:r>
      <w:r>
        <w:rPr>
          <w:rFonts w:hint="eastAsia" w:ascii="宋体" w:hAnsi="宋体"/>
        </w:rPr>
        <w:t xml:space="preserve"> </w:t>
      </w:r>
      <w:r>
        <w:rPr>
          <w:rFonts w:ascii="宋体" w:hAnsi="宋体"/>
        </w:rPr>
        <w:t xml:space="preserve">19123  </w:t>
      </w:r>
      <w:r>
        <w:rPr>
          <w:rFonts w:hint="eastAsia" w:ascii="宋体" w:hAnsi="宋体"/>
        </w:rPr>
        <w:t>三轮汽车和低速货车</w:t>
      </w:r>
      <w:r>
        <w:rPr>
          <w:rFonts w:ascii="宋体" w:hAnsi="宋体"/>
        </w:rPr>
        <w:t xml:space="preserve">  转向信号灯配光性能</w:t>
      </w:r>
    </w:p>
    <w:p w14:paraId="3D6505A5">
      <w:pPr>
        <w:adjustRightInd w:val="0"/>
        <w:spacing w:line="360" w:lineRule="exact"/>
        <w:ind w:right="105" w:rightChars="50" w:firstLine="420" w:firstLineChars="200"/>
        <w:rPr>
          <w:rFonts w:ascii="宋体" w:hAnsi="宋体"/>
        </w:rPr>
      </w:pPr>
      <w:r>
        <w:rPr>
          <w:rFonts w:ascii="宋体" w:hAnsi="宋体"/>
        </w:rPr>
        <w:t>GB/T 19124  三轮汽车和低速货车  前照灯</w:t>
      </w:r>
    </w:p>
    <w:p w14:paraId="40808E1F">
      <w:pPr>
        <w:adjustRightInd w:val="0"/>
        <w:spacing w:line="360" w:lineRule="exact"/>
        <w:ind w:right="105" w:rightChars="50" w:firstLine="420" w:firstLineChars="200"/>
        <w:rPr>
          <w:rFonts w:ascii="宋体" w:hAnsi="宋体"/>
        </w:rPr>
      </w:pPr>
      <w:r>
        <w:rPr>
          <w:rFonts w:ascii="宋体" w:hAnsi="宋体"/>
        </w:rPr>
        <w:t>GB/T</w:t>
      </w:r>
      <w:r>
        <w:rPr>
          <w:rFonts w:hint="eastAsia" w:ascii="宋体" w:hAnsi="宋体"/>
        </w:rPr>
        <w:t xml:space="preserve"> </w:t>
      </w:r>
      <w:r>
        <w:rPr>
          <w:rFonts w:ascii="宋体" w:hAnsi="宋体"/>
        </w:rPr>
        <w:t xml:space="preserve">19125  </w:t>
      </w:r>
      <w:r>
        <w:rPr>
          <w:rFonts w:hint="eastAsia" w:ascii="宋体" w:hAnsi="宋体"/>
        </w:rPr>
        <w:t>三轮汽车和低速货车</w:t>
      </w:r>
      <w:r>
        <w:rPr>
          <w:rFonts w:ascii="宋体" w:hAnsi="宋体"/>
        </w:rPr>
        <w:t xml:space="preserve">  前位灯、后位灯和制动灯配光性能</w:t>
      </w:r>
    </w:p>
    <w:p w14:paraId="0B50A348">
      <w:pPr>
        <w:adjustRightInd w:val="0"/>
        <w:spacing w:line="360" w:lineRule="exact"/>
        <w:ind w:right="105" w:rightChars="50" w:firstLine="420" w:firstLineChars="200"/>
        <w:rPr>
          <w:rFonts w:ascii="宋体" w:hAnsi="宋体"/>
        </w:rPr>
      </w:pPr>
      <w:r>
        <w:rPr>
          <w:rFonts w:ascii="宋体" w:hAnsi="宋体"/>
        </w:rPr>
        <w:t>GB</w:t>
      </w:r>
      <w:r>
        <w:rPr>
          <w:rFonts w:hint="eastAsia" w:ascii="宋体" w:hAnsi="宋体"/>
        </w:rPr>
        <w:t>/</w:t>
      </w:r>
      <w:r>
        <w:rPr>
          <w:rFonts w:ascii="宋体" w:hAnsi="宋体"/>
        </w:rPr>
        <w:t>T 19128</w:t>
      </w:r>
      <w:r>
        <w:rPr>
          <w:rFonts w:hint="eastAsia" w:ascii="宋体" w:hAnsi="宋体"/>
        </w:rPr>
        <w:t xml:space="preserve">  </w:t>
      </w:r>
      <w:r>
        <w:rPr>
          <w:rFonts w:ascii="宋体" w:hAnsi="宋体"/>
        </w:rPr>
        <w:t xml:space="preserve"> 三轮汽车和低速货车 回复反射器</w:t>
      </w:r>
    </w:p>
    <w:p w14:paraId="38C9AC95">
      <w:pPr>
        <w:adjustRightInd w:val="0"/>
        <w:spacing w:line="360" w:lineRule="exact"/>
        <w:ind w:right="105" w:rightChars="50" w:firstLine="420" w:firstLineChars="200"/>
        <w:rPr>
          <w:rFonts w:ascii="宋体" w:hAnsi="宋体"/>
        </w:rPr>
      </w:pPr>
      <w:r>
        <w:rPr>
          <w:rFonts w:ascii="宋体" w:hAnsi="宋体"/>
        </w:rPr>
        <w:t>GB/T 19129  三轮汽车和低速货车  电喇叭 性能要求及试验方法</w:t>
      </w:r>
    </w:p>
    <w:p w14:paraId="2EC79348">
      <w:pPr>
        <w:adjustRightInd w:val="0"/>
        <w:spacing w:line="360" w:lineRule="exact"/>
        <w:ind w:right="105" w:rightChars="50" w:firstLine="420" w:firstLineChars="200"/>
        <w:rPr>
          <w:rFonts w:ascii="宋体" w:hAnsi="宋体"/>
        </w:rPr>
      </w:pPr>
      <w:r>
        <w:rPr>
          <w:rFonts w:ascii="宋体" w:hAnsi="宋体"/>
        </w:rPr>
        <w:t>GB/T 19131  三轮汽车和低速货车  号牌板（架）及其位置</w:t>
      </w:r>
    </w:p>
    <w:p w14:paraId="26DC152A">
      <w:pPr>
        <w:adjustRightInd w:val="0"/>
        <w:spacing w:line="360" w:lineRule="exact"/>
        <w:ind w:right="105" w:rightChars="50" w:firstLine="420" w:firstLineChars="200"/>
        <w:rPr>
          <w:rFonts w:ascii="宋体" w:hAnsi="宋体"/>
        </w:rPr>
      </w:pPr>
      <w:r>
        <w:rPr>
          <w:rFonts w:ascii="宋体" w:hAnsi="宋体"/>
        </w:rPr>
        <w:t>GB/T 19133  三轮汽车和低速货车  最大侧倾稳定角 试验方法</w:t>
      </w:r>
    </w:p>
    <w:p w14:paraId="465C2737">
      <w:pPr>
        <w:adjustRightInd w:val="0"/>
        <w:spacing w:line="360" w:lineRule="exact"/>
        <w:ind w:right="105" w:rightChars="50" w:firstLine="420" w:firstLineChars="200"/>
        <w:rPr>
          <w:rFonts w:ascii="宋体" w:hAnsi="宋体"/>
        </w:rPr>
      </w:pPr>
      <w:r>
        <w:rPr>
          <w:rFonts w:ascii="宋体" w:hAnsi="宋体"/>
        </w:rPr>
        <w:t>GB/T 19134  三轮汽车和低速货车  后视镜  性能和安装要求</w:t>
      </w:r>
    </w:p>
    <w:p w14:paraId="7BD2E960">
      <w:pPr>
        <w:adjustRightInd w:val="0"/>
        <w:spacing w:line="360" w:lineRule="exact"/>
        <w:ind w:right="105" w:rightChars="50" w:firstLine="420" w:firstLineChars="200"/>
        <w:rPr>
          <w:rFonts w:ascii="宋体" w:hAnsi="宋体"/>
        </w:rPr>
      </w:pPr>
      <w:r>
        <w:rPr>
          <w:rFonts w:ascii="宋体" w:hAnsi="宋体"/>
        </w:rPr>
        <w:t>GB/T</w:t>
      </w:r>
      <w:r>
        <w:rPr>
          <w:rFonts w:hint="eastAsia" w:ascii="宋体" w:hAnsi="宋体"/>
        </w:rPr>
        <w:t xml:space="preserve"> </w:t>
      </w:r>
      <w:r>
        <w:rPr>
          <w:rFonts w:ascii="宋体" w:hAnsi="宋体"/>
        </w:rPr>
        <w:t xml:space="preserve">19135  </w:t>
      </w:r>
      <w:r>
        <w:rPr>
          <w:rFonts w:hint="eastAsia" w:ascii="宋体" w:hAnsi="宋体"/>
        </w:rPr>
        <w:t>三轮汽车和低速货车</w:t>
      </w:r>
      <w:r>
        <w:rPr>
          <w:rFonts w:ascii="宋体" w:hAnsi="宋体"/>
        </w:rPr>
        <w:t xml:space="preserve">  倒车灯配光性能</w:t>
      </w:r>
    </w:p>
    <w:p w14:paraId="41DE5A76">
      <w:pPr>
        <w:adjustRightInd w:val="0"/>
        <w:spacing w:line="360" w:lineRule="exact"/>
        <w:ind w:right="105" w:rightChars="50" w:firstLine="420" w:firstLineChars="200"/>
        <w:rPr>
          <w:rFonts w:ascii="宋体" w:hAnsi="宋体"/>
        </w:rPr>
      </w:pPr>
      <w:r>
        <w:rPr>
          <w:rFonts w:ascii="宋体" w:hAnsi="宋体"/>
        </w:rPr>
        <w:t>GB 19757    三轮汽车和低速货车加速行驶车外噪声限值及测量方法（中国Ⅰ、Ⅱ阶段）</w:t>
      </w:r>
    </w:p>
    <w:p w14:paraId="68302DC8">
      <w:pPr>
        <w:adjustRightInd w:val="0"/>
        <w:spacing w:line="360" w:lineRule="exact"/>
        <w:ind w:right="105" w:rightChars="50" w:firstLine="420" w:firstLineChars="200"/>
        <w:rPr>
          <w:rFonts w:ascii="宋体" w:hAnsi="宋体"/>
        </w:rPr>
      </w:pPr>
      <w:r>
        <w:rPr>
          <w:rFonts w:ascii="宋体" w:hAnsi="宋体"/>
        </w:rPr>
        <w:t>GB 20891 非道路移动机械用柴油机排气污染物排放限值及测量方法</w:t>
      </w:r>
      <w:r>
        <w:rPr>
          <w:rFonts w:hint="eastAsia" w:ascii="宋体" w:hAnsi="宋体"/>
        </w:rPr>
        <w:t>（</w:t>
      </w:r>
      <w:r>
        <w:rPr>
          <w:rFonts w:ascii="宋体" w:hAnsi="宋体"/>
        </w:rPr>
        <w:t>中国第三、四阶段）</w:t>
      </w:r>
    </w:p>
    <w:p w14:paraId="32E9D928">
      <w:pPr>
        <w:adjustRightInd w:val="0"/>
        <w:spacing w:line="360" w:lineRule="exact"/>
        <w:ind w:right="105" w:rightChars="50" w:firstLine="420" w:firstLineChars="200"/>
        <w:rPr>
          <w:rFonts w:ascii="宋体" w:hAnsi="宋体"/>
        </w:rPr>
      </w:pPr>
      <w:r>
        <w:rPr>
          <w:rFonts w:ascii="宋体" w:hAnsi="宋体"/>
        </w:rPr>
        <w:t>GB 21377</w:t>
      </w:r>
      <w:r>
        <w:rPr>
          <w:rFonts w:hint="eastAsia" w:ascii="宋体" w:hAnsi="宋体"/>
        </w:rPr>
        <w:t xml:space="preserve"> </w:t>
      </w:r>
      <w:r>
        <w:rPr>
          <w:rFonts w:ascii="宋体" w:hAnsi="宋体"/>
        </w:rPr>
        <w:t xml:space="preserve"> 三轮汽车 燃料消耗量限值及测量方法</w:t>
      </w:r>
    </w:p>
    <w:p w14:paraId="4A297F52">
      <w:pPr>
        <w:adjustRightInd w:val="0"/>
        <w:spacing w:line="360" w:lineRule="exact"/>
        <w:ind w:right="105" w:rightChars="50" w:firstLine="420" w:firstLineChars="200"/>
        <w:rPr>
          <w:rFonts w:ascii="宋体" w:hAnsi="宋体"/>
        </w:rPr>
      </w:pPr>
      <w:r>
        <w:rPr>
          <w:rFonts w:ascii="宋体" w:hAnsi="宋体"/>
        </w:rPr>
        <w:t>GB 23254  货车及挂车  车身反光标识</w:t>
      </w:r>
    </w:p>
    <w:p w14:paraId="4EDBA347">
      <w:pPr>
        <w:adjustRightInd w:val="0"/>
        <w:spacing w:line="360" w:lineRule="exact"/>
        <w:ind w:right="105" w:rightChars="50" w:firstLine="420" w:firstLineChars="200"/>
        <w:rPr>
          <w:rFonts w:ascii="宋体" w:hAnsi="宋体"/>
        </w:rPr>
      </w:pPr>
      <w:r>
        <w:rPr>
          <w:rFonts w:ascii="宋体" w:hAnsi="宋体"/>
        </w:rPr>
        <w:t xml:space="preserve">GB/T 23920  三轮汽车和低速货车  最高车速测量方法 </w:t>
      </w:r>
    </w:p>
    <w:p w14:paraId="11A25C92">
      <w:pPr>
        <w:adjustRightInd w:val="0"/>
        <w:spacing w:line="360" w:lineRule="exact"/>
        <w:ind w:right="105" w:rightChars="50" w:firstLine="420" w:firstLineChars="200"/>
        <w:rPr>
          <w:rFonts w:ascii="宋体" w:hAnsi="宋体"/>
        </w:rPr>
      </w:pPr>
      <w:r>
        <w:rPr>
          <w:rFonts w:ascii="宋体" w:hAnsi="宋体"/>
        </w:rPr>
        <w:t>GB/T 23931—</w:t>
      </w:r>
      <w:r>
        <w:rPr>
          <w:rFonts w:hint="eastAsia" w:ascii="宋体" w:hAnsi="宋体"/>
        </w:rPr>
        <w:t>2021</w:t>
      </w:r>
      <w:r>
        <w:rPr>
          <w:rFonts w:ascii="宋体" w:hAnsi="宋体"/>
        </w:rPr>
        <w:t xml:space="preserve">  三轮汽车  试验方法</w:t>
      </w:r>
    </w:p>
    <w:p w14:paraId="30D30DFC">
      <w:pPr>
        <w:adjustRightInd w:val="0"/>
        <w:spacing w:line="360" w:lineRule="exact"/>
        <w:ind w:right="105" w:rightChars="50" w:firstLine="420" w:firstLineChars="200"/>
        <w:rPr>
          <w:rFonts w:ascii="宋体" w:hAnsi="宋体"/>
        </w:rPr>
      </w:pPr>
      <w:r>
        <w:rPr>
          <w:rFonts w:ascii="宋体" w:hAnsi="宋体"/>
        </w:rPr>
        <w:t>GB/T 24948  低速汽车 词汇</w:t>
      </w:r>
    </w:p>
    <w:p w14:paraId="6795C18F">
      <w:pPr>
        <w:adjustRightInd w:val="0"/>
        <w:spacing w:line="360" w:lineRule="exact"/>
        <w:ind w:right="105" w:rightChars="50" w:firstLine="420" w:firstLineChars="200"/>
        <w:rPr>
          <w:rFonts w:ascii="宋体" w:hAnsi="宋体"/>
        </w:rPr>
      </w:pPr>
      <w:r>
        <w:rPr>
          <w:rFonts w:ascii="宋体" w:hAnsi="宋体"/>
        </w:rPr>
        <w:t>GB 36886  非道路柴油移动机械排气烟度限值及测量方法</w:t>
      </w:r>
    </w:p>
    <w:p w14:paraId="67991CD8">
      <w:pPr>
        <w:pStyle w:val="32"/>
        <w:numPr>
          <w:ilvl w:val="0"/>
          <w:numId w:val="0"/>
        </w:numPr>
        <w:spacing w:before="312" w:beforeLines="100" w:after="312" w:afterLines="100" w:line="360" w:lineRule="exact"/>
        <w:rPr>
          <w:rFonts w:hAnsi="黑体"/>
        </w:rPr>
      </w:pPr>
      <w:r>
        <w:rPr>
          <w:rFonts w:hAnsi="黑体"/>
        </w:rPr>
        <w:t>3  术语和定义</w:t>
      </w:r>
    </w:p>
    <w:p w14:paraId="2018B19E">
      <w:pPr>
        <w:spacing w:line="360" w:lineRule="exact"/>
        <w:ind w:firstLine="315" w:firstLineChars="150"/>
        <w:rPr>
          <w:color w:val="000000"/>
        </w:rPr>
      </w:pPr>
      <w:r>
        <w:t>GB/T 24948界定的以及</w:t>
      </w:r>
      <w:r>
        <w:rPr>
          <w:color w:val="000000"/>
        </w:rPr>
        <w:t>下列术语和定义适用于本文件。</w:t>
      </w:r>
    </w:p>
    <w:p w14:paraId="289FD0F3">
      <w:pPr>
        <w:spacing w:line="360" w:lineRule="exact"/>
        <w:rPr>
          <w:rFonts w:ascii="黑体" w:hAnsi="黑体" w:eastAsia="黑体"/>
        </w:rPr>
      </w:pPr>
      <w:r>
        <w:rPr>
          <w:rFonts w:ascii="黑体" w:hAnsi="黑体" w:eastAsia="黑体"/>
        </w:rPr>
        <w:t xml:space="preserve">3.1  </w:t>
      </w:r>
    </w:p>
    <w:p w14:paraId="3532C035">
      <w:pPr>
        <w:widowControl/>
        <w:spacing w:line="360" w:lineRule="exact"/>
        <w:ind w:firstLine="420" w:firstLineChars="200"/>
        <w:jc w:val="left"/>
        <w:rPr>
          <w:rFonts w:ascii="黑体" w:hAnsi="黑体" w:eastAsia="黑体"/>
          <w:kern w:val="0"/>
          <w:szCs w:val="21"/>
        </w:rPr>
      </w:pPr>
      <w:r>
        <w:rPr>
          <w:rFonts w:ascii="黑体" w:hAnsi="黑体" w:eastAsia="黑体"/>
          <w:kern w:val="0"/>
          <w:szCs w:val="21"/>
        </w:rPr>
        <w:t>三轮汽车  tri-wheel vehicle</w:t>
      </w:r>
    </w:p>
    <w:p w14:paraId="4811AAC4">
      <w:pPr>
        <w:spacing w:line="360" w:lineRule="exact"/>
        <w:ind w:firstLine="420"/>
        <w:rPr>
          <w:szCs w:val="21"/>
        </w:rPr>
      </w:pPr>
      <w:r>
        <w:rPr>
          <w:szCs w:val="21"/>
        </w:rPr>
        <w:t>最大设计车速小于或等于 50</w:t>
      </w:r>
      <w:r>
        <w:rPr>
          <w:rFonts w:hint="eastAsia"/>
          <w:szCs w:val="21"/>
        </w:rPr>
        <w:t xml:space="preserve"> </w:t>
      </w:r>
      <w:r>
        <w:rPr>
          <w:szCs w:val="21"/>
        </w:rPr>
        <w:t>km/h，并且具有三个车轮的载货汽车。</w:t>
      </w:r>
    </w:p>
    <w:p w14:paraId="35FDFF85">
      <w:pPr>
        <w:pStyle w:val="32"/>
        <w:numPr>
          <w:ilvl w:val="0"/>
          <w:numId w:val="0"/>
        </w:numPr>
        <w:spacing w:before="312" w:beforeLines="100" w:after="312" w:afterLines="100" w:line="360" w:lineRule="exact"/>
        <w:rPr>
          <w:rFonts w:hAnsi="黑体"/>
        </w:rPr>
      </w:pPr>
      <w:r>
        <w:rPr>
          <w:rFonts w:hAnsi="黑体"/>
        </w:rPr>
        <w:t>4  安全要求</w:t>
      </w:r>
    </w:p>
    <w:p w14:paraId="10E2792D">
      <w:pPr>
        <w:pStyle w:val="6"/>
        <w:spacing w:before="156" w:beforeLines="50" w:after="156" w:afterLines="50" w:line="360" w:lineRule="exact"/>
        <w:rPr>
          <w:rFonts w:ascii="黑体" w:hAnsi="黑体" w:eastAsia="黑体"/>
        </w:rPr>
      </w:pPr>
      <w:r>
        <w:rPr>
          <w:rFonts w:ascii="黑体" w:hAnsi="黑体" w:eastAsia="黑体"/>
        </w:rPr>
        <w:t>4.1  整车要求</w:t>
      </w:r>
    </w:p>
    <w:p w14:paraId="737A0DC5">
      <w:pPr>
        <w:pStyle w:val="6"/>
        <w:spacing w:line="360" w:lineRule="exact"/>
        <w:rPr>
          <w:rFonts w:ascii="Times New Roman" w:hAnsi="Times New Roman"/>
        </w:rPr>
      </w:pPr>
      <w:r>
        <w:rPr>
          <w:rFonts w:ascii="Times New Roman" w:hAnsi="Times New Roman"/>
        </w:rPr>
        <w:t>4.1.1  三轮汽车的设计、制造应保证整车安全运行。在按制造厂产品使用说明书正常操作和维护保养时不应存在不合理的危险。</w:t>
      </w:r>
    </w:p>
    <w:p w14:paraId="543E33A9">
      <w:pPr>
        <w:pStyle w:val="6"/>
        <w:spacing w:line="360" w:lineRule="exact"/>
        <w:rPr>
          <w:rFonts w:ascii="Times New Roman" w:hAnsi="Times New Roman"/>
        </w:rPr>
      </w:pPr>
      <w:r>
        <w:rPr>
          <w:rFonts w:ascii="Times New Roman" w:hAnsi="Times New Roman"/>
        </w:rPr>
        <w:t>4.1.2  三轮汽车各零部件应完整无损，连接可靠，不应因振动而松动。</w:t>
      </w:r>
    </w:p>
    <w:p w14:paraId="034AA5F3">
      <w:pPr>
        <w:pStyle w:val="6"/>
        <w:spacing w:line="360" w:lineRule="exact"/>
        <w:rPr>
          <w:rFonts w:ascii="Times New Roman" w:hAnsi="Times New Roman"/>
        </w:rPr>
      </w:pPr>
      <w:r>
        <w:rPr>
          <w:rFonts w:ascii="Times New Roman" w:hAnsi="Times New Roman"/>
        </w:rPr>
        <w:t xml:space="preserve">4.1.3  </w:t>
      </w:r>
      <w:r>
        <w:rPr>
          <w:rFonts w:ascii="Times New Roman" w:hAnsi="Times New Roman"/>
          <w:szCs w:val="21"/>
        </w:rPr>
        <w:t>三轮汽车连续行驶距离不小于10 km，停车5 min后观察，</w:t>
      </w:r>
      <w:r>
        <w:rPr>
          <w:rFonts w:ascii="Times New Roman" w:hAnsi="Times New Roman"/>
        </w:rPr>
        <w:t>散热器、水泵、缸体、缸盖、暖风装置及所有连接部位均不应有明显渗漏现象。</w:t>
      </w:r>
    </w:p>
    <w:p w14:paraId="4955BAB6">
      <w:pPr>
        <w:pStyle w:val="6"/>
        <w:spacing w:line="360" w:lineRule="exact"/>
        <w:rPr>
          <w:rFonts w:ascii="Times New Roman" w:hAnsi="Times New Roman"/>
        </w:rPr>
      </w:pPr>
      <w:r>
        <w:rPr>
          <w:rFonts w:ascii="Times New Roman" w:hAnsi="Times New Roman"/>
        </w:rPr>
        <w:t>4.1.</w:t>
      </w:r>
      <w:r>
        <w:rPr>
          <w:rFonts w:hint="eastAsia" w:ascii="Times New Roman" w:hAnsi="Times New Roman"/>
        </w:rPr>
        <w:t>4</w:t>
      </w:r>
      <w:r>
        <w:rPr>
          <w:rFonts w:ascii="Times New Roman" w:hAnsi="Times New Roman"/>
        </w:rPr>
        <w:t xml:space="preserve">  三轮汽车车体外缘左右对称部位两侧距离地面的高度差不应大于20 mm。前轮中心平面与后轮对称中心平面的偏差不应大于20 mm。</w:t>
      </w:r>
    </w:p>
    <w:p w14:paraId="62F2F6B7">
      <w:pPr>
        <w:pStyle w:val="6"/>
        <w:spacing w:line="360" w:lineRule="exact"/>
        <w:rPr>
          <w:rFonts w:ascii="Times New Roman" w:hAnsi="Times New Roman"/>
          <w:szCs w:val="21"/>
        </w:rPr>
      </w:pPr>
      <w:r>
        <w:rPr>
          <w:rFonts w:ascii="Times New Roman" w:hAnsi="Times New Roman"/>
          <w:szCs w:val="21"/>
        </w:rPr>
        <w:t>4.1.</w:t>
      </w:r>
      <w:r>
        <w:rPr>
          <w:rFonts w:hint="eastAsia" w:ascii="Times New Roman" w:hAnsi="Times New Roman"/>
          <w:szCs w:val="21"/>
        </w:rPr>
        <w:t>5</w:t>
      </w:r>
      <w:r>
        <w:rPr>
          <w:rFonts w:ascii="Times New Roman" w:hAnsi="Times New Roman"/>
          <w:szCs w:val="21"/>
        </w:rPr>
        <w:t xml:space="preserve">  三轮汽车的比功率</w:t>
      </w:r>
      <w:r>
        <w:rPr>
          <w:rFonts w:hint="eastAsia" w:ascii="Times New Roman" w:hAnsi="Times New Roman"/>
          <w:szCs w:val="21"/>
        </w:rPr>
        <w:t>不应小于</w:t>
      </w:r>
      <w:r>
        <w:rPr>
          <w:rFonts w:ascii="Times New Roman" w:hAnsi="Times New Roman"/>
          <w:szCs w:val="21"/>
        </w:rPr>
        <w:t>4.0 kW/t。</w:t>
      </w:r>
    </w:p>
    <w:p w14:paraId="6742FBB0">
      <w:pPr>
        <w:pStyle w:val="6"/>
        <w:spacing w:line="360" w:lineRule="exact"/>
        <w:rPr>
          <w:rFonts w:ascii="Times New Roman" w:hAnsi="Times New Roman"/>
          <w:szCs w:val="21"/>
        </w:rPr>
      </w:pPr>
      <w:r>
        <w:rPr>
          <w:rFonts w:ascii="Times New Roman" w:hAnsi="Times New Roman"/>
          <w:szCs w:val="21"/>
        </w:rPr>
        <w:t>4.1.</w:t>
      </w:r>
      <w:r>
        <w:rPr>
          <w:rFonts w:hint="eastAsia" w:ascii="Times New Roman" w:hAnsi="Times New Roman"/>
          <w:szCs w:val="21"/>
        </w:rPr>
        <w:t>6</w:t>
      </w:r>
      <w:r>
        <w:rPr>
          <w:rFonts w:ascii="Times New Roman" w:hAnsi="Times New Roman"/>
          <w:szCs w:val="21"/>
        </w:rPr>
        <w:t xml:space="preserve">  整备质量大于1100 kg的自卸式和仓栅式三轮汽车的质量利用系数</w:t>
      </w:r>
      <w:r>
        <w:rPr>
          <w:rFonts w:hint="eastAsia" w:ascii="Times New Roman" w:hAnsi="Times New Roman"/>
          <w:szCs w:val="21"/>
        </w:rPr>
        <w:t>不应小于</w:t>
      </w:r>
      <w:r>
        <w:rPr>
          <w:rFonts w:ascii="Times New Roman" w:hAnsi="Times New Roman"/>
          <w:szCs w:val="21"/>
        </w:rPr>
        <w:t>0.55；厢式三轮汽车的质量利用系数</w:t>
      </w:r>
      <w:r>
        <w:rPr>
          <w:rFonts w:hint="eastAsia" w:ascii="Times New Roman" w:hAnsi="Times New Roman"/>
          <w:szCs w:val="21"/>
        </w:rPr>
        <w:t>不应小于</w:t>
      </w:r>
      <w:r>
        <w:rPr>
          <w:rFonts w:ascii="Times New Roman" w:hAnsi="Times New Roman"/>
          <w:szCs w:val="21"/>
        </w:rPr>
        <w:t>0.50；其他类型三轮汽车的质量利用系数</w:t>
      </w:r>
      <w:r>
        <w:rPr>
          <w:rFonts w:hint="eastAsia" w:ascii="Times New Roman" w:hAnsi="Times New Roman"/>
          <w:szCs w:val="21"/>
        </w:rPr>
        <w:t>不应小于</w:t>
      </w:r>
      <w:r>
        <w:rPr>
          <w:rFonts w:ascii="Times New Roman" w:hAnsi="Times New Roman"/>
          <w:szCs w:val="21"/>
        </w:rPr>
        <w:t>0.65。</w:t>
      </w:r>
    </w:p>
    <w:p w14:paraId="1AE2E984">
      <w:pPr>
        <w:pStyle w:val="6"/>
        <w:spacing w:line="360" w:lineRule="exact"/>
        <w:rPr>
          <w:rFonts w:ascii="Times New Roman" w:hAnsi="Times New Roman"/>
          <w:szCs w:val="21"/>
        </w:rPr>
      </w:pPr>
      <w:r>
        <w:rPr>
          <w:rFonts w:ascii="Times New Roman" w:hAnsi="Times New Roman"/>
          <w:szCs w:val="21"/>
        </w:rPr>
        <w:t>4.1.</w:t>
      </w:r>
      <w:r>
        <w:rPr>
          <w:rFonts w:hint="eastAsia" w:ascii="Times New Roman" w:hAnsi="Times New Roman"/>
          <w:szCs w:val="21"/>
        </w:rPr>
        <w:t>7</w:t>
      </w:r>
      <w:r>
        <w:rPr>
          <w:rFonts w:ascii="Times New Roman" w:hAnsi="Times New Roman"/>
          <w:szCs w:val="21"/>
        </w:rPr>
        <w:t xml:space="preserve">  罐式三轮汽车罐体内部应装备防波板。罐体总容量应满足公式（1）的要求，且对运送液体的罐式三轮汽车罐体体积应满足公式（2）的要求。</w:t>
      </w:r>
    </w:p>
    <w:p w14:paraId="4F0A16F8">
      <w:pPr>
        <w:pStyle w:val="6"/>
        <w:jc w:val="center"/>
        <w:rPr>
          <w:rFonts w:ascii="Times New Roman" w:hAnsi="Times New Roman"/>
          <w:szCs w:val="21"/>
        </w:rPr>
      </w:pPr>
      <w:r>
        <w:rPr>
          <w:rFonts w:hint="eastAsia" w:ascii="Times New Roman" w:hAnsi="Times New Roman"/>
          <w:szCs w:val="21"/>
        </w:rPr>
        <w:t xml:space="preserve">                                 </w:t>
      </w:r>
      <m:oMath>
        <m:r>
          <m:rPr>
            <m:sty m:val="p"/>
          </m:rPr>
          <w:rPr>
            <w:rFonts w:ascii="Cambria Math" w:hAnsi="Cambria Math"/>
            <w:szCs w:val="21"/>
          </w:rPr>
          <m:t>1.0≤</m:t>
        </m:r>
        <m:f>
          <m:fPr>
            <m:ctrlPr>
              <w:rPr>
                <w:rFonts w:ascii="Cambria Math" w:hAnsi="Cambria Math"/>
                <w:szCs w:val="21"/>
              </w:rPr>
            </m:ctrlPr>
          </m:fPr>
          <m:num>
            <m:sSub>
              <m:sSubPr>
                <m:ctrlPr>
                  <w:rPr>
                    <w:rFonts w:ascii="Cambria Math" w:hAnsi="Cambria Math"/>
                    <w:i/>
                    <w:szCs w:val="21"/>
                  </w:rPr>
                </m:ctrlPr>
              </m:sSubPr>
              <m:e>
                <m:r>
                  <m:rPr/>
                  <w:rPr>
                    <w:rFonts w:ascii="Cambria Math" w:hAnsi="Cambria Math"/>
                    <w:szCs w:val="21"/>
                  </w:rPr>
                  <m:t>V</m:t>
                </m:r>
                <m:ctrlPr>
                  <w:rPr>
                    <w:rFonts w:ascii="Cambria Math" w:hAnsi="Cambria Math"/>
                    <w:i/>
                    <w:szCs w:val="21"/>
                  </w:rPr>
                </m:ctrlPr>
              </m:e>
              <m:sub>
                <m:r>
                  <m:rPr/>
                  <w:rPr>
                    <w:rFonts w:ascii="Cambria Math" w:hAnsi="Cambria Math"/>
                    <w:szCs w:val="21"/>
                  </w:rPr>
                  <m:t>z</m:t>
                </m:r>
                <m:ctrlPr>
                  <w:rPr>
                    <w:rFonts w:ascii="Cambria Math" w:hAnsi="Cambria Math"/>
                    <w:i/>
                    <w:szCs w:val="21"/>
                  </w:rPr>
                </m:ctrlPr>
              </m:sub>
            </m:sSub>
            <m:ctrlPr>
              <w:rPr>
                <w:rFonts w:ascii="Cambria Math" w:hAnsi="Cambria Math"/>
                <w:szCs w:val="21"/>
              </w:rPr>
            </m:ctrlPr>
          </m:num>
          <m:den>
            <m:r>
              <m:rPr>
                <m:sty m:val="p"/>
              </m:rPr>
              <w:rPr>
                <w:rFonts w:ascii="Cambria Math" w:hAnsi="Cambria Math"/>
                <w:szCs w:val="21"/>
              </w:rPr>
              <m:t>m/ρ</m:t>
            </m:r>
            <m:ctrlPr>
              <w:rPr>
                <w:rFonts w:ascii="Cambria Math" w:hAnsi="Cambria Math"/>
                <w:szCs w:val="21"/>
              </w:rPr>
            </m:ctrlPr>
          </m:den>
        </m:f>
        <m:r>
          <m:rPr>
            <m:sty m:val="p"/>
          </m:rPr>
          <w:rPr>
            <w:rFonts w:ascii="Cambria Math" w:hAnsi="Cambria Math"/>
            <w:szCs w:val="21"/>
          </w:rPr>
          <m:t>≤</m:t>
        </m:r>
      </m:oMath>
      <w:r>
        <w:rPr>
          <w:rFonts w:ascii="Times New Roman" w:hAnsi="Times New Roman"/>
          <w:szCs w:val="21"/>
        </w:rPr>
        <w:t>1.05   ………………………………………（1）</w:t>
      </w:r>
    </w:p>
    <w:p w14:paraId="330CAD5D">
      <w:pPr>
        <w:pStyle w:val="6"/>
        <w:spacing w:line="360" w:lineRule="exact"/>
        <w:ind w:firstLine="420" w:firstLineChars="200"/>
        <w:rPr>
          <w:rFonts w:ascii="Times New Roman" w:hAnsi="Times New Roman"/>
          <w:szCs w:val="21"/>
        </w:rPr>
      </w:pPr>
      <w:r>
        <w:rPr>
          <w:rFonts w:ascii="Times New Roman" w:hAnsi="Times New Roman"/>
          <w:szCs w:val="21"/>
        </w:rPr>
        <w:t>式中：</w:t>
      </w:r>
    </w:p>
    <w:p w14:paraId="54CDE6C7">
      <w:pPr>
        <w:pStyle w:val="6"/>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m:oMath>
        <m:sSub>
          <m:sSubPr>
            <m:ctrlPr>
              <w:rPr>
                <w:rFonts w:ascii="Cambria Math" w:hAnsi="Cambria Math" w:eastAsiaTheme="minorEastAsia"/>
                <w:i/>
                <w:szCs w:val="21"/>
              </w:rPr>
            </m:ctrlPr>
          </m:sSubPr>
          <m:e>
            <m:r>
              <m:rPr/>
              <w:rPr>
                <w:rFonts w:ascii="Cambria Math" w:hAnsi="Cambria Math" w:eastAsiaTheme="minorEastAsia"/>
                <w:szCs w:val="21"/>
              </w:rPr>
              <m:t>V</m:t>
            </m:r>
            <m:ctrlPr>
              <w:rPr>
                <w:rFonts w:ascii="Cambria Math" w:hAnsi="Cambria Math" w:eastAsiaTheme="minorEastAsia"/>
                <w:i/>
                <w:szCs w:val="21"/>
              </w:rPr>
            </m:ctrlPr>
          </m:e>
          <m:sub>
            <m:r>
              <m:rPr/>
              <w:rPr>
                <w:rFonts w:ascii="Cambria Math" w:hAnsi="Cambria Math" w:eastAsiaTheme="minorEastAsia"/>
                <w:szCs w:val="21"/>
              </w:rPr>
              <m:t>z</m:t>
            </m:r>
            <m:ctrlPr>
              <w:rPr>
                <w:rFonts w:ascii="Cambria Math" w:hAnsi="Cambria Math" w:eastAsiaTheme="minorEastAsia"/>
                <w:i/>
                <w:szCs w:val="21"/>
              </w:rPr>
            </m:ctrlPr>
          </m:sub>
        </m:sSub>
      </m:oMath>
      <w:r>
        <w:rPr>
          <w:rFonts w:asciiTheme="minorEastAsia" w:hAnsiTheme="minorEastAsia" w:eastAsiaTheme="minorEastAsia"/>
          <w:szCs w:val="21"/>
        </w:rPr>
        <w:t>——罐体总容量，单位为立方米（m</w:t>
      </w:r>
      <w:r>
        <w:rPr>
          <w:rFonts w:asciiTheme="minorEastAsia" w:hAnsiTheme="minorEastAsia" w:eastAsiaTheme="minorEastAsia"/>
          <w:szCs w:val="21"/>
          <w:vertAlign w:val="superscript"/>
        </w:rPr>
        <w:t>3</w:t>
      </w:r>
      <w:r>
        <w:rPr>
          <w:rFonts w:asciiTheme="minorEastAsia" w:hAnsiTheme="minorEastAsia" w:eastAsiaTheme="minorEastAsia"/>
          <w:szCs w:val="21"/>
        </w:rPr>
        <w:t>） ；</w:t>
      </w:r>
    </w:p>
    <w:p w14:paraId="7F98C27B">
      <w:pPr>
        <w:pStyle w:val="6"/>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m——载质量，单位为千克（kg）；</w:t>
      </w:r>
    </w:p>
    <w:p w14:paraId="3133FCF3">
      <w:pPr>
        <w:pStyle w:val="6"/>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m:oMath>
        <m:r>
          <m:rPr>
            <m:sty m:val="p"/>
          </m:rPr>
          <w:rPr>
            <w:rFonts w:ascii="Cambria Math" w:hAnsi="Cambria Math" w:eastAsiaTheme="minorEastAsia"/>
            <w:szCs w:val="21"/>
          </w:rPr>
          <m:t>ρ</m:t>
        </m:r>
      </m:oMath>
      <w:r>
        <w:rPr>
          <w:rFonts w:asciiTheme="minorEastAsia" w:hAnsiTheme="minorEastAsia" w:eastAsiaTheme="minorEastAsia"/>
          <w:szCs w:val="21"/>
        </w:rPr>
        <w:t>——介质密度，单位为（kg/ m</w:t>
      </w:r>
      <w:r>
        <w:rPr>
          <w:rFonts w:asciiTheme="minorEastAsia" w:hAnsiTheme="minorEastAsia" w:eastAsiaTheme="minorEastAsia"/>
          <w:szCs w:val="21"/>
          <w:vertAlign w:val="superscript"/>
        </w:rPr>
        <w:t>3</w:t>
      </w:r>
      <w:r>
        <w:rPr>
          <w:rFonts w:asciiTheme="minorEastAsia" w:hAnsiTheme="minorEastAsia" w:eastAsiaTheme="minorEastAsia"/>
          <w:szCs w:val="21"/>
        </w:rPr>
        <w:t>）。</w:t>
      </w:r>
    </w:p>
    <w:p w14:paraId="57C57DAF">
      <w:pPr>
        <w:pStyle w:val="6"/>
        <w:spacing w:line="360" w:lineRule="exact"/>
        <w:ind w:left="420" w:leftChars="200"/>
        <w:rPr>
          <w:rFonts w:ascii="Times New Roman" w:hAnsi="Times New Roman"/>
          <w:sz w:val="18"/>
          <w:szCs w:val="18"/>
        </w:rPr>
      </w:pPr>
      <w:r>
        <w:rPr>
          <w:rFonts w:ascii="黑体" w:hAnsi="黑体" w:eastAsia="黑体"/>
          <w:sz w:val="18"/>
          <w:szCs w:val="18"/>
        </w:rPr>
        <w:t>注1：</w:t>
      </w:r>
      <w:r>
        <w:rPr>
          <w:rFonts w:ascii="Times New Roman" w:hAnsi="Times New Roman"/>
          <w:sz w:val="18"/>
          <w:szCs w:val="18"/>
        </w:rPr>
        <w:t>式中载质量不含驾驶室乘员质量。</w:t>
      </w:r>
    </w:p>
    <w:p w14:paraId="512275FA">
      <w:pPr>
        <w:pStyle w:val="6"/>
        <w:spacing w:line="360" w:lineRule="exact"/>
        <w:ind w:left="420" w:leftChars="200"/>
        <w:rPr>
          <w:rFonts w:hint="eastAsia" w:ascii="Times New Roman" w:hAnsi="Times New Roman"/>
          <w:sz w:val="18"/>
          <w:szCs w:val="18"/>
        </w:rPr>
      </w:pPr>
      <w:r>
        <w:rPr>
          <w:rFonts w:ascii="黑体" w:hAnsi="黑体" w:eastAsia="黑体"/>
          <w:sz w:val="18"/>
          <w:szCs w:val="18"/>
        </w:rPr>
        <w:t>注</w:t>
      </w:r>
      <w:r>
        <w:rPr>
          <w:rFonts w:hint="eastAsia" w:ascii="黑体" w:hAnsi="黑体" w:eastAsia="黑体"/>
          <w:sz w:val="18"/>
          <w:szCs w:val="18"/>
        </w:rPr>
        <w:t>2</w:t>
      </w:r>
      <w:r>
        <w:rPr>
          <w:rFonts w:ascii="黑体" w:hAnsi="黑体" w:eastAsia="黑体"/>
          <w:sz w:val="18"/>
          <w:szCs w:val="18"/>
        </w:rPr>
        <w:t>：</w:t>
      </w:r>
      <w:r>
        <w:rPr>
          <w:rFonts w:ascii="Times New Roman" w:hAnsi="Times New Roman"/>
          <w:sz w:val="18"/>
          <w:szCs w:val="18"/>
        </w:rPr>
        <w:t>同一罐体可以运输</w:t>
      </w:r>
      <w:r>
        <w:rPr>
          <w:rFonts w:hint="eastAsia" w:ascii="Times New Roman" w:hAnsi="Times New Roman"/>
          <w:sz w:val="18"/>
          <w:szCs w:val="18"/>
        </w:rPr>
        <w:t>对</w:t>
      </w:r>
      <w:r>
        <w:rPr>
          <w:rFonts w:ascii="Times New Roman" w:hAnsi="Times New Roman"/>
          <w:sz w:val="18"/>
          <w:szCs w:val="18"/>
        </w:rPr>
        <w:t>罐体要求相同的不同名品、不同密度的介质，但应按密度最大的介质核算罐体总容量。</w:t>
      </w:r>
    </w:p>
    <w:p w14:paraId="401C264A">
      <w:pPr>
        <w:pStyle w:val="6"/>
        <w:spacing w:line="360" w:lineRule="exact"/>
        <w:ind w:left="1890" w:leftChars="900" w:firstLine="1890" w:firstLineChars="900"/>
        <w:rPr>
          <w:rFonts w:ascii="Times New Roman" w:hAnsi="Times New Roman"/>
          <w:sz w:val="18"/>
          <w:szCs w:val="18"/>
        </w:rPr>
      </w:pPr>
      <m:oMath>
        <m:sSub>
          <m:sSubPr>
            <m:ctrlPr>
              <w:rPr>
                <w:rFonts w:ascii="Cambria Math" w:hAnsi="Cambria Math"/>
                <w:szCs w:val="21"/>
              </w:rPr>
            </m:ctrlPr>
          </m:sSubPr>
          <m:e>
            <m:r>
              <m:rPr>
                <m:sty m:val="p"/>
              </m:rPr>
              <w:rPr>
                <w:rFonts w:ascii="Cambria Math" w:hAnsi="Cambria Math"/>
                <w:szCs w:val="21"/>
              </w:rPr>
              <m:t>V</m:t>
            </m:r>
            <m:ctrlPr>
              <w:rPr>
                <w:rFonts w:ascii="Cambria Math" w:hAnsi="Cambria Math"/>
                <w:szCs w:val="21"/>
              </w:rPr>
            </m:ctrlPr>
          </m:e>
          <m:sub>
            <m:r>
              <m:rPr>
                <m:sty m:val="p"/>
              </m:rPr>
              <w:rPr>
                <w:rFonts w:ascii="Cambria Math" w:hAnsi="Cambria Math"/>
                <w:szCs w:val="21"/>
              </w:rPr>
              <m:t>T</m:t>
            </m:r>
            <m:ctrlPr>
              <w:rPr>
                <w:rFonts w:ascii="Cambria Math" w:hAnsi="Cambria Math"/>
                <w:szCs w:val="21"/>
              </w:rPr>
            </m:ctrlPr>
          </m:sub>
        </m:sSub>
      </m:oMath>
      <w:r>
        <w:rPr>
          <w:rFonts w:ascii="Times New Roman" w:hAnsi="Times New Roman"/>
          <w:szCs w:val="21"/>
        </w:rPr>
        <w:t>×0.85</w:t>
      </w:r>
      <m:oMath>
        <m:r>
          <m:rPr>
            <m:sty m:val="p"/>
          </m:rPr>
          <w:rPr>
            <w:rFonts w:ascii="Cambria Math" w:hAnsi="Cambria Math"/>
            <w:szCs w:val="21"/>
          </w:rPr>
          <m:t>≤</m:t>
        </m:r>
        <m:sSub>
          <m:sSubPr>
            <m:ctrlPr>
              <w:rPr>
                <w:rFonts w:ascii="Cambria Math" w:hAnsi="Cambria Math"/>
                <w:szCs w:val="21"/>
              </w:rPr>
            </m:ctrlPr>
          </m:sSubPr>
          <m:e>
            <m:r>
              <m:rPr>
                <m:sty m:val="p"/>
              </m:rPr>
              <w:rPr>
                <w:rFonts w:ascii="Cambria Math" w:hAnsi="Cambria Math"/>
                <w:szCs w:val="21"/>
              </w:rPr>
              <m:t>V</m:t>
            </m:r>
            <m:ctrlPr>
              <w:rPr>
                <w:rFonts w:ascii="Cambria Math" w:hAnsi="Cambria Math"/>
                <w:szCs w:val="21"/>
              </w:rPr>
            </m:ctrlPr>
          </m:e>
          <m:sub>
            <m:r>
              <m:rPr>
                <m:sty m:val="p"/>
              </m:rPr>
              <w:rPr>
                <w:rFonts w:ascii="Cambria Math" w:hAnsi="Cambria Math"/>
                <w:szCs w:val="21"/>
              </w:rPr>
              <m:t>z</m:t>
            </m:r>
            <m:ctrlPr>
              <w:rPr>
                <w:rFonts w:ascii="Cambria Math" w:hAnsi="Cambria Math"/>
                <w:szCs w:val="21"/>
              </w:rPr>
            </m:ctrlPr>
          </m:sub>
        </m:sSub>
      </m:oMath>
      <w:r>
        <w:rPr>
          <w:rFonts w:ascii="Times New Roman" w:hAnsi="Times New Roman"/>
          <w:szCs w:val="21"/>
        </w:rPr>
        <w:t xml:space="preserve">  ……………………………………………（2）</w:t>
      </w:r>
    </w:p>
    <w:p w14:paraId="2DE4FB09">
      <w:pPr>
        <w:pStyle w:val="6"/>
        <w:spacing w:line="360" w:lineRule="exact"/>
        <w:ind w:firstLine="420" w:firstLineChars="200"/>
        <w:rPr>
          <w:rFonts w:ascii="Times New Roman" w:hAnsi="Times New Roman"/>
          <w:szCs w:val="21"/>
        </w:rPr>
      </w:pPr>
      <w:r>
        <w:rPr>
          <w:rFonts w:ascii="Times New Roman" w:hAnsi="Times New Roman"/>
          <w:szCs w:val="21"/>
        </w:rPr>
        <w:t>式中：</w:t>
      </w:r>
    </w:p>
    <w:p w14:paraId="677E1984">
      <w:pPr>
        <w:pStyle w:val="6"/>
        <w:spacing w:line="360" w:lineRule="exact"/>
        <w:ind w:firstLine="420" w:firstLineChars="200"/>
        <w:rPr>
          <w:rFonts w:ascii="Times New Roman" w:hAnsi="Times New Roman"/>
          <w:szCs w:val="21"/>
        </w:rPr>
      </w:pPr>
      <m:oMath>
        <m:sSub>
          <m:sSubPr>
            <m:ctrlPr>
              <w:rPr>
                <w:rFonts w:ascii="Cambria Math" w:hAnsi="Cambria Math"/>
                <w:szCs w:val="21"/>
              </w:rPr>
            </m:ctrlPr>
          </m:sSubPr>
          <m:e>
            <m:r>
              <m:rPr>
                <m:sty m:val="p"/>
              </m:rPr>
              <w:rPr>
                <w:rFonts w:ascii="Cambria Math" w:hAnsi="Cambria Math"/>
                <w:szCs w:val="21"/>
              </w:rPr>
              <m:t>V</m:t>
            </m:r>
            <m:ctrlPr>
              <w:rPr>
                <w:rFonts w:ascii="Cambria Math" w:hAnsi="Cambria Math"/>
                <w:szCs w:val="21"/>
              </w:rPr>
            </m:ctrlPr>
          </m:e>
          <m:sub>
            <m:r>
              <m:rPr>
                <m:sty m:val="p"/>
              </m:rPr>
              <w:rPr>
                <w:rFonts w:ascii="Cambria Math" w:hAnsi="Cambria Math"/>
                <w:szCs w:val="21"/>
              </w:rPr>
              <m:t>T</m:t>
            </m:r>
            <m:ctrlPr>
              <w:rPr>
                <w:rFonts w:ascii="Cambria Math" w:hAnsi="Cambria Math"/>
                <w:szCs w:val="21"/>
              </w:rPr>
            </m:ctrlPr>
          </m:sub>
        </m:sSub>
      </m:oMath>
      <w:r>
        <w:rPr>
          <w:rFonts w:ascii="Times New Roman" w:hAnsi="Times New Roman"/>
          <w:szCs w:val="21"/>
        </w:rPr>
        <w:t>——罐体体积（按外形尺寸计算），单位为立方米（m</w:t>
      </w:r>
      <w:r>
        <w:rPr>
          <w:rFonts w:ascii="Times New Roman" w:hAnsi="Times New Roman"/>
          <w:szCs w:val="21"/>
          <w:vertAlign w:val="superscript"/>
        </w:rPr>
        <w:t>3</w:t>
      </w:r>
      <w:r>
        <w:rPr>
          <w:rFonts w:ascii="Times New Roman" w:hAnsi="Times New Roman"/>
          <w:szCs w:val="21"/>
        </w:rPr>
        <w:t>）。</w:t>
      </w:r>
    </w:p>
    <w:p w14:paraId="086E6FBC">
      <w:pPr>
        <w:pStyle w:val="6"/>
        <w:spacing w:before="156" w:beforeLines="50" w:after="156" w:afterLines="50" w:line="360" w:lineRule="exact"/>
        <w:rPr>
          <w:rFonts w:ascii="黑体" w:hAnsi="黑体" w:eastAsia="黑体"/>
        </w:rPr>
      </w:pPr>
      <w:r>
        <w:rPr>
          <w:rFonts w:ascii="黑体" w:hAnsi="黑体" w:eastAsia="黑体"/>
        </w:rPr>
        <w:t>4.2  驾驶员工作位置</w:t>
      </w:r>
    </w:p>
    <w:p w14:paraId="7380F390">
      <w:pPr>
        <w:pStyle w:val="6"/>
        <w:spacing w:before="156" w:beforeLines="50" w:after="156" w:afterLines="50" w:line="360" w:lineRule="exact"/>
        <w:rPr>
          <w:rFonts w:ascii="Times New Roman" w:hAnsi="Times New Roman" w:eastAsia="黑体"/>
        </w:rPr>
      </w:pPr>
      <w:r>
        <w:rPr>
          <w:rFonts w:ascii="黑体" w:hAnsi="黑体" w:eastAsia="黑体"/>
        </w:rPr>
        <w:t>4.2.1  驾驶室内部空间</w:t>
      </w:r>
    </w:p>
    <w:p w14:paraId="28C28238">
      <w:pPr>
        <w:pStyle w:val="6"/>
        <w:spacing w:line="360" w:lineRule="exact"/>
        <w:rPr>
          <w:rFonts w:ascii="Times New Roman" w:hAnsi="Times New Roman"/>
        </w:rPr>
      </w:pPr>
      <w:r>
        <w:rPr>
          <w:rFonts w:hint="eastAsia" w:ascii="Times New Roman" w:hAnsi="Times New Roman"/>
        </w:rPr>
        <w:t xml:space="preserve">4.2.1.1  </w:t>
      </w:r>
      <w:r>
        <w:rPr>
          <w:rFonts w:ascii="Times New Roman" w:hAnsi="Times New Roman"/>
        </w:rPr>
        <w:t>驾驶室内部不应有任何可能使人致伤的锐角、利棱或尖锐凸起物。</w:t>
      </w:r>
    </w:p>
    <w:p w14:paraId="68F48F30">
      <w:pPr>
        <w:pStyle w:val="6"/>
        <w:spacing w:line="360" w:lineRule="exact"/>
        <w:rPr>
          <w:rFonts w:ascii="Times New Roman" w:hAnsi="Times New Roman"/>
        </w:rPr>
      </w:pPr>
      <w:r>
        <w:rPr>
          <w:rFonts w:hint="eastAsia" w:ascii="Times New Roman" w:hAnsi="Times New Roman"/>
        </w:rPr>
        <w:t xml:space="preserve">4.2.1.2  </w:t>
      </w:r>
      <w:r>
        <w:rPr>
          <w:rFonts w:ascii="Times New Roman" w:hAnsi="Times New Roman"/>
        </w:rPr>
        <w:t>排半驾驶室的三轮汽车座椅后部最上端（</w:t>
      </w:r>
      <w:r>
        <w:rPr>
          <w:rFonts w:ascii="Times New Roman" w:hAnsi="Times New Roman"/>
          <w:lang w:bidi="ar"/>
        </w:rPr>
        <w:t>前后位置可调座椅应处于滑轨中间位置，靠背角度可调式座椅的靠背角度及座椅其他调整量应处于制造厂规定的正常使用位置</w:t>
      </w:r>
      <w:r>
        <w:rPr>
          <w:rFonts w:ascii="Times New Roman" w:hAnsi="Times New Roman"/>
        </w:rPr>
        <w:t>）</w:t>
      </w:r>
      <w:r>
        <w:rPr>
          <w:rFonts w:ascii="Times New Roman" w:hAnsi="Times New Roman"/>
          <w:lang w:bidi="ar"/>
        </w:rPr>
        <w:t>与驾驶室后壁平面的间距</w:t>
      </w:r>
      <w:r>
        <w:rPr>
          <w:rFonts w:hint="eastAsia" w:ascii="Times New Roman" w:hAnsi="Times New Roman"/>
          <w:lang w:bidi="ar"/>
        </w:rPr>
        <w:t>不</w:t>
      </w:r>
      <w:r>
        <w:rPr>
          <w:rFonts w:ascii="Times New Roman" w:hAnsi="Times New Roman"/>
          <w:lang w:bidi="ar"/>
        </w:rPr>
        <w:t>应</w:t>
      </w:r>
      <w:r>
        <w:rPr>
          <w:rFonts w:hint="eastAsia" w:ascii="Times New Roman" w:hAnsi="Times New Roman"/>
          <w:lang w:bidi="ar"/>
        </w:rPr>
        <w:t>小于</w:t>
      </w:r>
      <w:r>
        <w:rPr>
          <w:rFonts w:ascii="Times New Roman" w:hAnsi="Times New Roman"/>
          <w:lang w:bidi="ar"/>
        </w:rPr>
        <w:t>200 mm</w:t>
      </w:r>
      <w:r>
        <w:rPr>
          <w:rFonts w:ascii="Times New Roman" w:hAnsi="Times New Roman"/>
        </w:rPr>
        <w:t>。</w:t>
      </w:r>
    </w:p>
    <w:p w14:paraId="0A76BF48">
      <w:pPr>
        <w:pStyle w:val="6"/>
        <w:spacing w:before="156" w:beforeLines="50" w:after="156" w:afterLines="50" w:line="360" w:lineRule="exact"/>
        <w:rPr>
          <w:rFonts w:ascii="黑体" w:hAnsi="黑体" w:eastAsia="黑体"/>
        </w:rPr>
      </w:pPr>
      <w:r>
        <w:rPr>
          <w:rFonts w:ascii="黑体" w:hAnsi="黑体" w:eastAsia="黑体"/>
        </w:rPr>
        <w:t>4.2.2  座椅</w:t>
      </w:r>
    </w:p>
    <w:p w14:paraId="20A0BB63">
      <w:pPr>
        <w:pStyle w:val="6"/>
        <w:spacing w:line="360" w:lineRule="exact"/>
        <w:rPr>
          <w:rFonts w:ascii="Times New Roman" w:hAnsi="Times New Roman"/>
        </w:rPr>
      </w:pPr>
      <w:r>
        <w:rPr>
          <w:rFonts w:hint="eastAsia" w:ascii="Times New Roman" w:hAnsi="Times New Roman"/>
        </w:rPr>
        <w:t xml:space="preserve">4.2.2.1  </w:t>
      </w:r>
      <w:r>
        <w:rPr>
          <w:rFonts w:ascii="Times New Roman" w:hAnsi="Times New Roman"/>
        </w:rPr>
        <w:t>座椅与后部相邻部件、座位靠背各面交界不应有剪切和挤压处。</w:t>
      </w:r>
    </w:p>
    <w:p w14:paraId="574CACD1">
      <w:pPr>
        <w:pStyle w:val="6"/>
        <w:spacing w:line="360" w:lineRule="exact"/>
        <w:rPr>
          <w:rFonts w:ascii="Times New Roman" w:hAnsi="Times New Roman"/>
        </w:rPr>
      </w:pPr>
      <w:r>
        <w:rPr>
          <w:rFonts w:hint="eastAsia" w:ascii="Times New Roman" w:hAnsi="Times New Roman"/>
        </w:rPr>
        <w:t xml:space="preserve">4.2.2.2  </w:t>
      </w:r>
      <w:r>
        <w:rPr>
          <w:rFonts w:ascii="Times New Roman" w:hAnsi="Times New Roman"/>
        </w:rPr>
        <w:t>座椅应具有足够的强度和刚度，固定可靠，乘坐舒适。可调式座椅水平（纵向）方向的最小调整量应为±50 mm。座椅（位）调整时，不应有挤压危险。</w:t>
      </w:r>
    </w:p>
    <w:p w14:paraId="09103E8A">
      <w:pPr>
        <w:pStyle w:val="6"/>
        <w:spacing w:line="360" w:lineRule="exact"/>
        <w:rPr>
          <w:rFonts w:ascii="Times New Roman" w:hAnsi="Times New Roman"/>
        </w:rPr>
      </w:pPr>
      <w:r>
        <w:rPr>
          <w:rFonts w:hint="eastAsia" w:ascii="Times New Roman" w:hAnsi="Times New Roman"/>
        </w:rPr>
        <w:t xml:space="preserve">4.2.2.3  </w:t>
      </w:r>
      <w:r>
        <w:rPr>
          <w:rFonts w:ascii="Times New Roman" w:hAnsi="Times New Roman"/>
        </w:rPr>
        <w:t>主座椅最大宽度不应小于400 mm，最大深度不应小于400 mm。方向盘式三轮汽车的副驾驶坐垫宽度不应小于 350 mm，座椅深度不应小于300 mm，且座椅不应增加三轮汽车的外廓尺寸。</w:t>
      </w:r>
    </w:p>
    <w:p w14:paraId="627831FF">
      <w:pPr>
        <w:pStyle w:val="6"/>
        <w:spacing w:before="156" w:beforeLines="50" w:after="156" w:afterLines="50" w:line="360" w:lineRule="exact"/>
        <w:rPr>
          <w:rFonts w:ascii="黑体" w:hAnsi="黑体" w:eastAsia="黑体"/>
        </w:rPr>
      </w:pPr>
      <w:r>
        <w:rPr>
          <w:rFonts w:ascii="黑体" w:hAnsi="黑体" w:eastAsia="黑体"/>
        </w:rPr>
        <w:t>4.2.3  转向盘（方向把）</w:t>
      </w:r>
    </w:p>
    <w:p w14:paraId="5F9EDF2C">
      <w:pPr>
        <w:pStyle w:val="6"/>
        <w:spacing w:line="360" w:lineRule="exact"/>
        <w:rPr>
          <w:rFonts w:ascii="Times New Roman" w:hAnsi="Times New Roman"/>
        </w:rPr>
      </w:pPr>
      <w:r>
        <w:rPr>
          <w:rFonts w:hint="eastAsia" w:ascii="Times New Roman" w:hAnsi="Times New Roman"/>
        </w:rPr>
        <w:t xml:space="preserve">4.2.3.1  </w:t>
      </w:r>
      <w:r>
        <w:rPr>
          <w:rFonts w:ascii="Times New Roman" w:hAnsi="Times New Roman"/>
        </w:rPr>
        <w:t>转向盘（方向把）中心应位于主座椅（位）纵向中心面上，任何情况下的偏置量均不应大于50 mm。</w:t>
      </w:r>
      <w:r>
        <w:rPr>
          <w:rFonts w:hint="eastAsia" w:ascii="Times New Roman" w:hAnsi="Times New Roman"/>
        </w:rPr>
        <w:t xml:space="preserve">4.2.3.2  </w:t>
      </w:r>
      <w:r>
        <w:rPr>
          <w:rFonts w:ascii="Times New Roman" w:hAnsi="Times New Roman"/>
        </w:rPr>
        <w:t>转向盘（方向把）与相邻部件之间的间隙不应小于80 mm。</w:t>
      </w:r>
    </w:p>
    <w:p w14:paraId="00F427A6">
      <w:pPr>
        <w:pStyle w:val="6"/>
        <w:spacing w:before="156" w:beforeLines="50" w:after="156" w:afterLines="50" w:line="360" w:lineRule="exact"/>
        <w:rPr>
          <w:rFonts w:ascii="黑体" w:hAnsi="黑体" w:eastAsia="黑体"/>
        </w:rPr>
      </w:pPr>
      <w:r>
        <w:rPr>
          <w:rFonts w:ascii="黑体" w:hAnsi="黑体" w:eastAsia="黑体"/>
        </w:rPr>
        <w:t>4.2.4  操纵机构</w:t>
      </w:r>
    </w:p>
    <w:p w14:paraId="69D522B2">
      <w:pPr>
        <w:pStyle w:val="6"/>
        <w:spacing w:line="360" w:lineRule="exact"/>
        <w:rPr>
          <w:rFonts w:ascii="Times New Roman" w:hAnsi="Times New Roman"/>
        </w:rPr>
      </w:pPr>
      <w:r>
        <w:rPr>
          <w:rFonts w:hint="eastAsia" w:ascii="Times New Roman" w:hAnsi="Times New Roman"/>
        </w:rPr>
        <w:t xml:space="preserve">4.2.4.1  </w:t>
      </w:r>
      <w:r>
        <w:rPr>
          <w:rFonts w:ascii="Times New Roman" w:hAnsi="Times New Roman"/>
        </w:rPr>
        <w:t>转向盘（方向把）、换挡杆、踏板、手柄和开关等操纵机构应合理布置和配置，使驾驶员在座位上能安全和方便地控制和操作。</w:t>
      </w:r>
    </w:p>
    <w:p w14:paraId="2651990D">
      <w:pPr>
        <w:pStyle w:val="6"/>
        <w:spacing w:line="360" w:lineRule="exact"/>
        <w:rPr>
          <w:rFonts w:ascii="Times New Roman" w:hAnsi="Times New Roman"/>
        </w:rPr>
      </w:pPr>
      <w:r>
        <w:rPr>
          <w:rFonts w:hint="eastAsia" w:ascii="Times New Roman" w:hAnsi="Times New Roman"/>
        </w:rPr>
        <w:t xml:space="preserve">4.2.4.2  </w:t>
      </w:r>
      <w:r>
        <w:rPr>
          <w:rFonts w:ascii="Times New Roman" w:hAnsi="Times New Roman"/>
        </w:rPr>
        <w:t>操纵机构的各零部件应灵活可靠，正常复位不应存在干涉。</w:t>
      </w:r>
    </w:p>
    <w:p w14:paraId="477FD35C">
      <w:pPr>
        <w:pStyle w:val="6"/>
        <w:spacing w:line="360" w:lineRule="exact"/>
        <w:rPr>
          <w:rFonts w:ascii="Times New Roman" w:hAnsi="Times New Roman"/>
        </w:rPr>
      </w:pPr>
      <w:r>
        <w:rPr>
          <w:rFonts w:hint="eastAsia" w:ascii="Times New Roman" w:hAnsi="Times New Roman"/>
        </w:rPr>
        <w:t xml:space="preserve">4.2.4.3  </w:t>
      </w:r>
      <w:r>
        <w:rPr>
          <w:rFonts w:ascii="Times New Roman" w:hAnsi="Times New Roman"/>
        </w:rPr>
        <w:t>除作用非常明确的外，应在操纵机构上或其附近用耐久性标志明确标明其功能、操作方向等。标志用操作符号应与背景有明显的色差。使用说明书中应给出所有操纵机构的浅显易懂且详细的操作说明。</w:t>
      </w:r>
    </w:p>
    <w:p w14:paraId="30A567FC">
      <w:pPr>
        <w:pStyle w:val="6"/>
        <w:spacing w:line="360" w:lineRule="exact"/>
        <w:rPr>
          <w:rFonts w:ascii="Times New Roman" w:hAnsi="Times New Roman"/>
        </w:rPr>
      </w:pPr>
      <w:r>
        <w:rPr>
          <w:rFonts w:hint="eastAsia" w:ascii="Times New Roman" w:hAnsi="Times New Roman"/>
        </w:rPr>
        <w:t xml:space="preserve">4.2.4.4  </w:t>
      </w:r>
      <w:r>
        <w:rPr>
          <w:rFonts w:ascii="Times New Roman" w:hAnsi="Times New Roman"/>
        </w:rPr>
        <w:t>踏板、踏脚板应采取防滑措施。</w:t>
      </w:r>
    </w:p>
    <w:p w14:paraId="7E9C313C">
      <w:pPr>
        <w:pStyle w:val="6"/>
        <w:spacing w:line="360" w:lineRule="exact"/>
        <w:rPr>
          <w:rFonts w:ascii="Times New Roman" w:hAnsi="Times New Roman"/>
        </w:rPr>
      </w:pPr>
      <w:r>
        <w:rPr>
          <w:rFonts w:hint="eastAsia" w:ascii="Times New Roman" w:hAnsi="Times New Roman"/>
        </w:rPr>
        <w:t xml:space="preserve">4.2.4.5  </w:t>
      </w:r>
      <w:r>
        <w:rPr>
          <w:rFonts w:ascii="Times New Roman" w:hAnsi="Times New Roman"/>
        </w:rPr>
        <w:t>操纵机构运行区域内不应有剪切和挤压处，操纵力大于等于50 N的操纵机构（不包括转向盘或方向把）周围应有不小于50 mm的间隙，操纵力小于50 N的操纵机构周围应有不小于25 mm的间隙，按钮/开关类操纵机构只要不存在误操作相邻操纵机构的危险，则无上述间隙要求。</w:t>
      </w:r>
    </w:p>
    <w:p w14:paraId="230A9F90">
      <w:pPr>
        <w:pStyle w:val="6"/>
        <w:spacing w:before="156" w:beforeLines="50" w:after="156" w:afterLines="50" w:line="360" w:lineRule="exact"/>
        <w:rPr>
          <w:rFonts w:ascii="黑体" w:hAnsi="黑体" w:eastAsia="黑体"/>
        </w:rPr>
      </w:pPr>
      <w:r>
        <w:rPr>
          <w:rFonts w:ascii="黑体" w:hAnsi="黑体" w:eastAsia="黑体"/>
        </w:rPr>
        <w:t>4.2.5  进出驾驶室的通道</w:t>
      </w:r>
    </w:p>
    <w:p w14:paraId="08CADB32">
      <w:pPr>
        <w:pStyle w:val="6"/>
        <w:spacing w:line="360" w:lineRule="exact"/>
        <w:rPr>
          <w:rFonts w:ascii="Times New Roman" w:hAnsi="Times New Roman"/>
        </w:rPr>
      </w:pPr>
      <w:r>
        <w:rPr>
          <w:rFonts w:hint="eastAsia" w:ascii="Times New Roman" w:hAnsi="Times New Roman"/>
        </w:rPr>
        <w:t xml:space="preserve">4.2.5.1  </w:t>
      </w:r>
      <w:r>
        <w:rPr>
          <w:rFonts w:ascii="Times New Roman" w:hAnsi="Times New Roman"/>
        </w:rPr>
        <w:t>进出驾驶座位的通道应畅通，最小宽度为250 mm，通道内不应有影响驾驶员通过的操纵机构。</w:t>
      </w:r>
      <w:r>
        <w:rPr>
          <w:rFonts w:hint="eastAsia" w:ascii="Times New Roman" w:hAnsi="Times New Roman"/>
        </w:rPr>
        <w:t>4.2.5.2  全封闭驾驶室</w:t>
      </w:r>
      <w:r>
        <w:rPr>
          <w:rFonts w:ascii="Times New Roman" w:hAnsi="Times New Roman"/>
        </w:rPr>
        <w:t>车门打开时，车门上部通道宽度不应小于450 mm，下部通道宽度不应小于250 mm。</w:t>
      </w:r>
    </w:p>
    <w:p w14:paraId="473DDF97">
      <w:pPr>
        <w:pStyle w:val="6"/>
        <w:spacing w:before="156" w:beforeLines="50" w:after="156" w:afterLines="50" w:line="360" w:lineRule="exact"/>
        <w:rPr>
          <w:rFonts w:ascii="黑体" w:hAnsi="黑体" w:eastAsia="黑体"/>
        </w:rPr>
      </w:pPr>
      <w:r>
        <w:rPr>
          <w:rFonts w:ascii="黑体" w:hAnsi="黑体" w:eastAsia="黑体"/>
        </w:rPr>
        <w:t>4.2.6  车身、车门和车窗</w:t>
      </w:r>
    </w:p>
    <w:p w14:paraId="1B7FB221">
      <w:pPr>
        <w:pStyle w:val="52"/>
        <w:spacing w:line="360" w:lineRule="exact"/>
        <w:rPr>
          <w:rFonts w:asciiTheme="minorEastAsia" w:hAnsiTheme="minorEastAsia" w:eastAsiaTheme="minorEastAsia"/>
          <w:lang w:bidi="ar"/>
        </w:rPr>
      </w:pPr>
      <w:r>
        <w:rPr>
          <w:rFonts w:eastAsia="方正书宋简体"/>
        </w:rPr>
        <w:t xml:space="preserve">4.2.6.1  </w:t>
      </w:r>
      <w:r>
        <w:rPr>
          <w:rFonts w:eastAsia="宋体"/>
          <w:szCs w:val="21"/>
        </w:rPr>
        <w:t>车身的技术状况应能保证驾驶员有正常的工作条件，</w:t>
      </w:r>
      <w:r>
        <w:rPr>
          <w:rFonts w:asciiTheme="minorEastAsia" w:hAnsiTheme="minorEastAsia" w:eastAsiaTheme="minorEastAsia"/>
          <w:lang w:bidi="ar"/>
        </w:rPr>
        <w:t>其外部不应产生明显的镜面反光（局部区域使用镀铬、不锈钢装饰件的除外）。</w:t>
      </w:r>
    </w:p>
    <w:p w14:paraId="04689561">
      <w:pPr>
        <w:pStyle w:val="6"/>
        <w:spacing w:line="360" w:lineRule="exact"/>
        <w:rPr>
          <w:rFonts w:asciiTheme="minorEastAsia" w:hAnsiTheme="minorEastAsia" w:eastAsiaTheme="minorEastAsia"/>
          <w:lang w:bidi="ar"/>
        </w:rPr>
      </w:pPr>
      <w:r>
        <w:rPr>
          <w:rFonts w:ascii="Times New Roman" w:hAnsi="Times New Roman"/>
          <w:szCs w:val="21"/>
        </w:rPr>
        <w:t>4.2.6.2  车身和驾驶室在车架上的安装应牢固，不能因振动而引起松动。</w:t>
      </w:r>
      <w:r>
        <w:rPr>
          <w:rFonts w:asciiTheme="minorEastAsia" w:hAnsiTheme="minorEastAsia" w:eastAsiaTheme="minorEastAsia"/>
          <w:lang w:bidi="ar"/>
        </w:rPr>
        <w:t>车身外部可能触及的任何部件、构件都不应有任何可能使人致伤的尖锐凸起物（如尖角、锐边等）。</w:t>
      </w:r>
    </w:p>
    <w:p w14:paraId="4F8EEF28">
      <w:pPr>
        <w:pStyle w:val="6"/>
        <w:spacing w:line="360" w:lineRule="exact"/>
        <w:rPr>
          <w:rFonts w:ascii="Times New Roman" w:hAnsi="Times New Roman"/>
        </w:rPr>
      </w:pPr>
      <w:r>
        <w:rPr>
          <w:rFonts w:ascii="Times New Roman" w:hAnsi="Times New Roman"/>
          <w:lang w:bidi="ar"/>
        </w:rPr>
        <w:t xml:space="preserve">4.2.6.3  货厢（货箱）在设计和制造上不应设置有货厢（货箱）加高、加长、加宽的结构及装置。 </w:t>
      </w:r>
    </w:p>
    <w:p w14:paraId="5555A92B">
      <w:pPr>
        <w:pStyle w:val="6"/>
        <w:spacing w:line="360" w:lineRule="exact"/>
        <w:rPr>
          <w:rFonts w:ascii="Times New Roman" w:hAnsi="Times New Roman"/>
        </w:rPr>
      </w:pPr>
      <w:r>
        <w:rPr>
          <w:rFonts w:ascii="Times New Roman" w:hAnsi="Times New Roman"/>
          <w:lang w:bidi="ar"/>
        </w:rPr>
        <w:t xml:space="preserve">4.2.6.4  货箱或其他载货装置，其构造应保证安全、稳妥地装载货物，栏板和底板应规整且具有足够的 </w:t>
      </w:r>
    </w:p>
    <w:p w14:paraId="640CBB41">
      <w:pPr>
        <w:pStyle w:val="6"/>
        <w:spacing w:line="360" w:lineRule="exact"/>
        <w:rPr>
          <w:rFonts w:ascii="Times New Roman" w:hAnsi="Times New Roman"/>
        </w:rPr>
      </w:pPr>
      <w:r>
        <w:rPr>
          <w:rFonts w:ascii="Times New Roman" w:hAnsi="Times New Roman"/>
          <w:lang w:bidi="ar"/>
        </w:rPr>
        <w:t>强度。</w:t>
      </w:r>
    </w:p>
    <w:p w14:paraId="14C73374">
      <w:pPr>
        <w:pStyle w:val="6"/>
        <w:spacing w:line="360" w:lineRule="exact"/>
        <w:rPr>
          <w:rFonts w:ascii="Times New Roman" w:hAnsi="Times New Roman"/>
        </w:rPr>
      </w:pPr>
      <w:r>
        <w:rPr>
          <w:rFonts w:ascii="Times New Roman" w:hAnsi="Times New Roman"/>
          <w:lang w:bidi="ar"/>
        </w:rPr>
        <w:t>4.2.6.5  载货部分不应设置乘客座椅，且不应设计成可伸缩的结构。</w:t>
      </w:r>
    </w:p>
    <w:p w14:paraId="710BC4C0">
      <w:pPr>
        <w:pStyle w:val="6"/>
        <w:spacing w:line="360" w:lineRule="exact"/>
        <w:rPr>
          <w:rFonts w:ascii="Times New Roman" w:hAnsi="Times New Roman"/>
        </w:rPr>
      </w:pPr>
      <w:r>
        <w:rPr>
          <w:rFonts w:ascii="Times New Roman" w:hAnsi="Times New Roman"/>
          <w:lang w:bidi="ar"/>
        </w:rPr>
        <w:t>4.2.6.6  仓栅式三轮汽车的载货部位应采用仓笼式或栅栏式结构，且载货部位不应具有举升功能或采用自卸结构。顶部应安装有与侧面栅栏固定的、不能拆卸和调整的顶棚杆；顶棚杆间的纵向距离应小于或等于</w:t>
      </w:r>
      <w:r>
        <w:rPr>
          <w:rFonts w:hint="eastAsia" w:ascii="Times New Roman" w:hAnsi="Times New Roman"/>
          <w:lang w:bidi="ar"/>
        </w:rPr>
        <w:t>3</w:t>
      </w:r>
      <w:r>
        <w:rPr>
          <w:rFonts w:ascii="Times New Roman" w:hAnsi="Times New Roman"/>
          <w:lang w:bidi="ar"/>
        </w:rPr>
        <w:t xml:space="preserve">00 mm。 </w:t>
      </w:r>
    </w:p>
    <w:p w14:paraId="5636988A">
      <w:pPr>
        <w:pStyle w:val="6"/>
        <w:spacing w:line="360" w:lineRule="exact"/>
        <w:rPr>
          <w:rFonts w:ascii="Times New Roman" w:hAnsi="Times New Roman"/>
        </w:rPr>
      </w:pPr>
      <w:r>
        <w:rPr>
          <w:rFonts w:ascii="Times New Roman" w:hAnsi="Times New Roman"/>
          <w:lang w:bidi="ar"/>
        </w:rPr>
        <w:t>4.2.6.7  自卸式三轮汽车的车箱栏板应开闭灵活，锁紧可靠；应安装手动锁紧机构，确保在行驶中不</w:t>
      </w:r>
      <w:r>
        <w:rPr>
          <w:rFonts w:hint="eastAsia" w:ascii="Times New Roman" w:hAnsi="Times New Roman"/>
          <w:lang w:bidi="ar"/>
        </w:rPr>
        <w:t>能</w:t>
      </w:r>
      <w:r>
        <w:rPr>
          <w:rFonts w:ascii="Times New Roman" w:hAnsi="Times New Roman"/>
          <w:lang w:bidi="ar"/>
        </w:rPr>
        <w:t xml:space="preserve">自行打开。侧开式车箱栏板与立柱、底板之间以及后开式车箱后栏板与车箱后断面之间应贴合。 </w:t>
      </w:r>
    </w:p>
    <w:p w14:paraId="26C573FF">
      <w:pPr>
        <w:pStyle w:val="6"/>
        <w:spacing w:line="360" w:lineRule="exact"/>
        <w:rPr>
          <w:rFonts w:ascii="Times New Roman" w:hAnsi="Times New Roman"/>
          <w:lang w:bidi="ar"/>
        </w:rPr>
      </w:pPr>
      <w:r>
        <w:rPr>
          <w:rFonts w:ascii="Times New Roman" w:hAnsi="Times New Roman"/>
          <w:lang w:bidi="ar"/>
        </w:rPr>
        <w:t>4.2.6.8  厢式三轮汽车货厢的顶部应封闭、不可开启（翼开式除外），其与侧面的连接应采用焊接等永久固定的方式；货厢的后面或侧面应设有固定位置的车门。</w:t>
      </w:r>
    </w:p>
    <w:p w14:paraId="588EF7DE">
      <w:pPr>
        <w:pStyle w:val="6"/>
        <w:spacing w:line="360" w:lineRule="exact"/>
        <w:rPr>
          <w:rFonts w:ascii="Times New Roman" w:hAnsi="Times New Roman"/>
          <w:lang w:bidi="ar"/>
        </w:rPr>
      </w:pPr>
      <w:r>
        <w:rPr>
          <w:rFonts w:ascii="Times New Roman" w:hAnsi="Times New Roman"/>
          <w:lang w:bidi="ar"/>
        </w:rPr>
        <w:t>4.2.6.9  车门和车窗应启闭轻便，车门不应有自行开启现象，门锁应牢固可靠。门窗应密封良好，无漏水现象。门窗应使用符合GB 9656规定的安全玻璃。</w:t>
      </w:r>
    </w:p>
    <w:p w14:paraId="5A11E9B9">
      <w:pPr>
        <w:pStyle w:val="6"/>
        <w:spacing w:line="360" w:lineRule="exact"/>
        <w:rPr>
          <w:rFonts w:ascii="Times New Roman" w:hAnsi="Times New Roman"/>
          <w:lang w:bidi="ar"/>
        </w:rPr>
      </w:pPr>
      <w:r>
        <w:rPr>
          <w:rFonts w:ascii="Times New Roman" w:hAnsi="Times New Roman" w:eastAsia="方正书宋简体"/>
        </w:rPr>
        <w:t xml:space="preserve">4.2.6.10  </w:t>
      </w:r>
      <w:r>
        <w:rPr>
          <w:rFonts w:ascii="Times New Roman" w:hAnsi="Times New Roman"/>
        </w:rPr>
        <w:t>驾驶室应保证驾驶员的前方视野和侧方视野。所有车窗玻璃不允许张贴镜面反光遮阳膜。</w:t>
      </w:r>
      <w:r>
        <w:rPr>
          <w:rFonts w:ascii="Times New Roman" w:hAnsi="Times New Roman"/>
          <w:lang w:bidi="ar"/>
        </w:rPr>
        <w:t>4.2.6.11  全封闭驾驶室的三轮汽车</w:t>
      </w:r>
      <w:r>
        <w:rPr>
          <w:rFonts w:ascii="Times New Roman" w:hAnsi="Times New Roman"/>
          <w:color w:val="000000"/>
          <w:lang w:bidi="ar"/>
        </w:rPr>
        <w:t>前风窗玻璃不影响驾驶视野的位置设置微波窗口，以保证电子标识的规范安装和数据的有效读取</w:t>
      </w:r>
      <w:r>
        <w:rPr>
          <w:rFonts w:ascii="Times New Roman" w:hAnsi="Times New Roman"/>
          <w:lang w:bidi="ar"/>
        </w:rPr>
        <w:t>。</w:t>
      </w:r>
    </w:p>
    <w:p w14:paraId="28A0A541">
      <w:pPr>
        <w:pStyle w:val="6"/>
        <w:spacing w:before="156" w:beforeLines="50" w:after="156" w:afterLines="50" w:line="360" w:lineRule="exact"/>
        <w:rPr>
          <w:rFonts w:ascii="黑体" w:hAnsi="黑体" w:eastAsia="黑体"/>
        </w:rPr>
      </w:pPr>
      <w:r>
        <w:rPr>
          <w:rFonts w:ascii="黑体" w:hAnsi="黑体" w:eastAsia="黑体"/>
        </w:rPr>
        <w:t>4.2.7  内饰材料</w:t>
      </w:r>
    </w:p>
    <w:p w14:paraId="0D15F24D">
      <w:pPr>
        <w:pStyle w:val="6"/>
        <w:spacing w:line="360" w:lineRule="exact"/>
        <w:ind w:firstLine="420"/>
        <w:rPr>
          <w:rFonts w:ascii="Times New Roman" w:hAnsi="Times New Roman"/>
        </w:rPr>
      </w:pPr>
      <w:r>
        <w:rPr>
          <w:rFonts w:ascii="Times New Roman" w:hAnsi="Times New Roman"/>
        </w:rPr>
        <w:t>驾驶室内饰材料</w:t>
      </w:r>
      <w:r>
        <w:rPr>
          <w:rFonts w:hint="eastAsia" w:ascii="Times New Roman" w:hAnsi="Times New Roman"/>
        </w:rPr>
        <w:t>（包括座椅坐垫、车门内护板、车顶棚衬里、地板覆盖层等）应具备</w:t>
      </w:r>
      <w:r>
        <w:rPr>
          <w:rFonts w:ascii="Times New Roman" w:hAnsi="Times New Roman"/>
        </w:rPr>
        <w:t>阻燃</w:t>
      </w:r>
      <w:r>
        <w:rPr>
          <w:rFonts w:hint="eastAsia" w:ascii="Times New Roman" w:hAnsi="Times New Roman"/>
        </w:rPr>
        <w:t>特</w:t>
      </w:r>
      <w:r>
        <w:rPr>
          <w:rFonts w:ascii="Times New Roman" w:hAnsi="Times New Roman"/>
        </w:rPr>
        <w:t>性</w:t>
      </w:r>
      <w:r>
        <w:rPr>
          <w:rFonts w:hint="eastAsia" w:ascii="Times New Roman" w:hAnsi="Times New Roman"/>
        </w:rPr>
        <w:t>，其燃烧速度不应大于100 mm/min</w:t>
      </w:r>
      <w:r>
        <w:rPr>
          <w:rFonts w:ascii="Times New Roman" w:hAnsi="Times New Roman"/>
        </w:rPr>
        <w:t>。</w:t>
      </w:r>
    </w:p>
    <w:p w14:paraId="6DD863EA">
      <w:pPr>
        <w:pStyle w:val="6"/>
        <w:spacing w:before="156" w:beforeLines="50" w:after="156" w:afterLines="50" w:line="360" w:lineRule="exact"/>
        <w:rPr>
          <w:rFonts w:ascii="黑体" w:hAnsi="黑体" w:eastAsia="黑体"/>
        </w:rPr>
      </w:pPr>
      <w:r>
        <w:rPr>
          <w:rFonts w:ascii="黑体" w:hAnsi="黑体" w:eastAsia="黑体"/>
        </w:rPr>
        <w:t xml:space="preserve">4.3  稳定性  </w:t>
      </w:r>
    </w:p>
    <w:p w14:paraId="4F8F9619">
      <w:pPr>
        <w:pStyle w:val="6"/>
        <w:spacing w:line="360" w:lineRule="exact"/>
        <w:rPr>
          <w:rFonts w:ascii="Times New Roman" w:hAnsi="Times New Roman"/>
        </w:rPr>
      </w:pPr>
      <w:r>
        <w:rPr>
          <w:rFonts w:ascii="Times New Roman" w:hAnsi="Times New Roman" w:eastAsia="方正书宋简体"/>
        </w:rPr>
        <w:t xml:space="preserve">4.3.1  </w:t>
      </w:r>
      <w:r>
        <w:rPr>
          <w:rFonts w:ascii="Times New Roman" w:hAnsi="Times New Roman"/>
        </w:rPr>
        <w:t>三轮汽车后悬</w:t>
      </w:r>
      <w:r>
        <w:rPr>
          <w:rFonts w:hint="eastAsia" w:ascii="Times New Roman" w:hAnsi="Times New Roman"/>
        </w:rPr>
        <w:t>不</w:t>
      </w:r>
      <w:r>
        <w:rPr>
          <w:rFonts w:ascii="Times New Roman" w:hAnsi="Times New Roman"/>
        </w:rPr>
        <w:t>应</w:t>
      </w:r>
      <w:r>
        <w:rPr>
          <w:rFonts w:hint="eastAsia" w:ascii="Times New Roman" w:hAnsi="Times New Roman"/>
        </w:rPr>
        <w:t>大于</w:t>
      </w:r>
      <w:r>
        <w:rPr>
          <w:rFonts w:ascii="Times New Roman" w:hAnsi="Times New Roman"/>
        </w:rPr>
        <w:t>轴距的55％。</w:t>
      </w:r>
    </w:p>
    <w:p w14:paraId="560174EC">
      <w:pPr>
        <w:pStyle w:val="6"/>
        <w:spacing w:line="360" w:lineRule="exact"/>
        <w:rPr>
          <w:rFonts w:ascii="Times New Roman" w:hAnsi="Times New Roman"/>
        </w:rPr>
      </w:pPr>
      <w:r>
        <w:rPr>
          <w:rFonts w:ascii="Times New Roman" w:hAnsi="Times New Roman"/>
        </w:rPr>
        <w:t>4.3.2  在空载和满载状态下，</w:t>
      </w:r>
      <w:r>
        <w:rPr>
          <w:rFonts w:ascii="Times New Roman" w:hAnsi="Times New Roman"/>
          <w:szCs w:val="21"/>
        </w:rPr>
        <w:t>转向轮轮荷</w:t>
      </w:r>
      <w:r>
        <w:rPr>
          <w:rFonts w:ascii="Times New Roman" w:hAnsi="Times New Roman"/>
        </w:rPr>
        <w:t>与该车整备质量和最大允许总质量的比值不应小于18％。</w:t>
      </w:r>
    </w:p>
    <w:p w14:paraId="54B1C311">
      <w:pPr>
        <w:pStyle w:val="6"/>
        <w:spacing w:line="360" w:lineRule="exact"/>
        <w:rPr>
          <w:rFonts w:ascii="Times New Roman" w:hAnsi="Times New Roman"/>
        </w:rPr>
      </w:pPr>
      <w:r>
        <w:rPr>
          <w:rFonts w:ascii="Times New Roman" w:hAnsi="Times New Roman"/>
        </w:rPr>
        <w:t>4.3.3  在空载、静态状态下，向左侧和右侧倾斜最大侧倾稳定角不应小于25°。罐式三轮汽车在</w:t>
      </w:r>
      <w:r>
        <w:rPr>
          <w:rFonts w:hint="eastAsia" w:ascii="Times New Roman" w:hAnsi="Times New Roman"/>
        </w:rPr>
        <w:t>满</w:t>
      </w:r>
      <w:r>
        <w:rPr>
          <w:rFonts w:ascii="Times New Roman" w:hAnsi="Times New Roman"/>
        </w:rPr>
        <w:t>载、静态状态下向左侧和右侧倾斜最大侧倾稳定角不应小于23°。</w:t>
      </w:r>
    </w:p>
    <w:p w14:paraId="1B409036">
      <w:pPr>
        <w:pStyle w:val="6"/>
        <w:spacing w:before="156" w:beforeLines="50" w:after="156" w:afterLines="50" w:line="360" w:lineRule="exact"/>
        <w:rPr>
          <w:rFonts w:ascii="黑体" w:hAnsi="黑体" w:eastAsia="黑体"/>
        </w:rPr>
      </w:pPr>
      <w:r>
        <w:rPr>
          <w:rFonts w:ascii="黑体" w:hAnsi="黑体" w:eastAsia="黑体"/>
        </w:rPr>
        <w:t>4.4  操纵控制系统</w:t>
      </w:r>
    </w:p>
    <w:p w14:paraId="58131030">
      <w:pPr>
        <w:pStyle w:val="6"/>
        <w:spacing w:before="156" w:beforeLines="50" w:after="156" w:afterLines="50" w:line="360" w:lineRule="exact"/>
        <w:rPr>
          <w:rFonts w:ascii="黑体" w:hAnsi="黑体" w:eastAsia="黑体"/>
        </w:rPr>
      </w:pPr>
      <w:r>
        <w:rPr>
          <w:rFonts w:ascii="黑体" w:hAnsi="黑体" w:eastAsia="黑体"/>
        </w:rPr>
        <w:t>4.4.1  起动开关和控制机构</w:t>
      </w:r>
    </w:p>
    <w:p w14:paraId="31A0A3C3">
      <w:pPr>
        <w:pStyle w:val="6"/>
        <w:spacing w:line="360" w:lineRule="exact"/>
        <w:rPr>
          <w:rFonts w:ascii="Times New Roman" w:hAnsi="Times New Roman" w:eastAsia="方正书宋简体"/>
        </w:rPr>
      </w:pPr>
      <w:r>
        <w:rPr>
          <w:rFonts w:hint="eastAsia" w:ascii="Times New Roman" w:hAnsi="Times New Roman" w:eastAsia="方正书宋简体"/>
        </w:rPr>
        <w:t xml:space="preserve">4.4.1.1  </w:t>
      </w:r>
      <w:r>
        <w:rPr>
          <w:rFonts w:asciiTheme="minorEastAsia" w:hAnsiTheme="minorEastAsia" w:eastAsiaTheme="minorEastAsia"/>
        </w:rPr>
        <w:t>三轮汽车起动开关各位置的功能、操作方向应清晰地标出，并与背景有明显的色差。</w:t>
      </w:r>
    </w:p>
    <w:p w14:paraId="57BFF154">
      <w:pPr>
        <w:pStyle w:val="6"/>
        <w:spacing w:line="360" w:lineRule="exact"/>
        <w:rPr>
          <w:rFonts w:ascii="Times New Roman" w:hAnsi="Times New Roman" w:eastAsia="方正书宋简体"/>
        </w:rPr>
      </w:pPr>
      <w:r>
        <w:rPr>
          <w:rFonts w:hint="eastAsia" w:ascii="Times New Roman" w:hAnsi="Times New Roman" w:eastAsia="方正书宋简体"/>
        </w:rPr>
        <w:t xml:space="preserve">4.4.1.2  </w:t>
      </w:r>
      <w:r>
        <w:rPr>
          <w:rFonts w:asciiTheme="minorEastAsia" w:hAnsiTheme="minorEastAsia" w:eastAsiaTheme="minorEastAsia"/>
        </w:rPr>
        <w:t>三轮汽车的起动开关不应依靠驾驶员施加持续力即可处于熄火或停车位置。处于熄火或停车位置时，只有经人工恢复到正常位置后方能再起动。</w:t>
      </w:r>
    </w:p>
    <w:p w14:paraId="08EA0406">
      <w:pPr>
        <w:pStyle w:val="6"/>
        <w:spacing w:line="360" w:lineRule="exact"/>
        <w:rPr>
          <w:rFonts w:ascii="Times New Roman" w:hAnsi="Times New Roman" w:eastAsia="方正书宋简体"/>
        </w:rPr>
      </w:pPr>
      <w:r>
        <w:rPr>
          <w:rFonts w:hint="eastAsia" w:ascii="Times New Roman" w:hAnsi="Times New Roman" w:eastAsia="方正书宋简体"/>
        </w:rPr>
        <w:t xml:space="preserve">4.4.1.3  </w:t>
      </w:r>
      <w:r>
        <w:rPr>
          <w:rFonts w:asciiTheme="minorEastAsia" w:hAnsiTheme="minorEastAsia" w:eastAsiaTheme="minorEastAsia"/>
        </w:rPr>
        <w:t>柴油机的停机装置应灵活有效，驾驶员在座位上应能使三轮汽车熄火。</w:t>
      </w:r>
    </w:p>
    <w:p w14:paraId="110AD0BA">
      <w:pPr>
        <w:pStyle w:val="6"/>
        <w:spacing w:line="360" w:lineRule="exact"/>
        <w:rPr>
          <w:rFonts w:asciiTheme="minorEastAsia" w:hAnsiTheme="minorEastAsia" w:eastAsiaTheme="minorEastAsia"/>
        </w:rPr>
      </w:pPr>
      <w:r>
        <w:rPr>
          <w:rFonts w:hint="eastAsia" w:ascii="Times New Roman" w:hAnsi="Times New Roman" w:eastAsia="方正书宋简体"/>
        </w:rPr>
        <w:t xml:space="preserve">4.4.1.4  </w:t>
      </w:r>
      <w:r>
        <w:rPr>
          <w:rFonts w:asciiTheme="minorEastAsia" w:hAnsiTheme="minorEastAsia" w:eastAsiaTheme="minorEastAsia"/>
        </w:rPr>
        <w:t>发动机油门机构应保证在全程调速范围内稳定运转。</w:t>
      </w:r>
    </w:p>
    <w:p w14:paraId="1F7C9083">
      <w:pPr>
        <w:pStyle w:val="6"/>
        <w:spacing w:before="156" w:beforeLines="50" w:after="156" w:afterLines="50" w:line="360" w:lineRule="exact"/>
        <w:rPr>
          <w:rFonts w:ascii="黑体" w:hAnsi="黑体" w:eastAsia="黑体"/>
        </w:rPr>
      </w:pPr>
      <w:r>
        <w:rPr>
          <w:rFonts w:ascii="黑体" w:hAnsi="黑体" w:eastAsia="黑体"/>
        </w:rPr>
        <w:t>4.4.2  转向系</w:t>
      </w:r>
    </w:p>
    <w:p w14:paraId="20732C11">
      <w:pPr>
        <w:pStyle w:val="6"/>
        <w:spacing w:line="360" w:lineRule="exact"/>
        <w:rPr>
          <w:rFonts w:ascii="Times New Roman" w:hAnsi="Times New Roman"/>
        </w:rPr>
      </w:pPr>
      <w:r>
        <w:rPr>
          <w:rFonts w:ascii="Times New Roman" w:hAnsi="Times New Roman" w:eastAsia="方正书宋简体"/>
        </w:rPr>
        <w:t xml:space="preserve">4.4.2.1 </w:t>
      </w:r>
      <w:r>
        <w:rPr>
          <w:rFonts w:ascii="Times New Roman" w:hAnsi="Times New Roman"/>
        </w:rPr>
        <w:t xml:space="preserve"> 三轮汽车的转向盘（方向把）不应设置于右侧。</w:t>
      </w:r>
    </w:p>
    <w:p w14:paraId="5C4594E7">
      <w:pPr>
        <w:pStyle w:val="6"/>
        <w:spacing w:line="360" w:lineRule="exact"/>
        <w:rPr>
          <w:rFonts w:ascii="Times New Roman" w:hAnsi="Times New Roman"/>
        </w:rPr>
      </w:pPr>
      <w:r>
        <w:rPr>
          <w:rFonts w:ascii="Times New Roman" w:hAnsi="Times New Roman"/>
        </w:rPr>
        <w:t>4.4.2.2  方向盘式三轮汽车</w:t>
      </w:r>
      <w:r>
        <w:rPr>
          <w:rFonts w:ascii="Times New Roman" w:hAnsi="Times New Roman"/>
          <w:szCs w:val="21"/>
        </w:rPr>
        <w:t>的方向盘最大自由转动量</w:t>
      </w:r>
      <w:r>
        <w:rPr>
          <w:rFonts w:ascii="Times New Roman" w:hAnsi="Times New Roman"/>
        </w:rPr>
        <w:t>不应</w:t>
      </w:r>
      <w:r>
        <w:rPr>
          <w:rFonts w:hint="eastAsia" w:ascii="Times New Roman" w:hAnsi="Times New Roman"/>
        </w:rPr>
        <w:t>大</w:t>
      </w:r>
      <w:r>
        <w:rPr>
          <w:rFonts w:ascii="Times New Roman" w:hAnsi="Times New Roman"/>
        </w:rPr>
        <w:t>于35°。</w:t>
      </w:r>
    </w:p>
    <w:p w14:paraId="593B0B55">
      <w:pPr>
        <w:pStyle w:val="6"/>
        <w:spacing w:line="360" w:lineRule="exact"/>
        <w:rPr>
          <w:rFonts w:ascii="Times New Roman" w:hAnsi="Times New Roman"/>
        </w:rPr>
      </w:pPr>
      <w:r>
        <w:rPr>
          <w:rFonts w:ascii="Times New Roman" w:hAnsi="Times New Roman"/>
        </w:rPr>
        <w:t>4.4.2.3  转向盘（方向把）应转动灵活，操纵方便，无阻滞现象。转向系统在任何操作位置上，不允许与其它部件有干涉现象。</w:t>
      </w:r>
    </w:p>
    <w:p w14:paraId="0EFEC91F">
      <w:pPr>
        <w:pStyle w:val="6"/>
        <w:spacing w:line="360" w:lineRule="exact"/>
        <w:rPr>
          <w:rFonts w:ascii="Times New Roman" w:hAnsi="Times New Roman"/>
        </w:rPr>
      </w:pPr>
      <w:r>
        <w:rPr>
          <w:rFonts w:ascii="Times New Roman" w:hAnsi="Times New Roman"/>
        </w:rPr>
        <w:t>4.4.2.4  三轮汽车应设置转向限位装置，转向轮向左或向右转角不应</w:t>
      </w:r>
      <w:r>
        <w:rPr>
          <w:rFonts w:hint="eastAsia" w:ascii="Times New Roman" w:hAnsi="Times New Roman"/>
        </w:rPr>
        <w:t>大</w:t>
      </w:r>
      <w:r>
        <w:rPr>
          <w:rFonts w:ascii="Times New Roman" w:hAnsi="Times New Roman"/>
        </w:rPr>
        <w:t>于45°。转向限位装置承受</w:t>
      </w:r>
      <w:r>
        <w:rPr>
          <w:rFonts w:hint="eastAsia" w:ascii="Times New Roman" w:hAnsi="Times New Roman"/>
        </w:rPr>
        <w:t xml:space="preserve">对转向轴施加200 </w:t>
      </w:r>
      <w:r>
        <w:rPr>
          <w:rFonts w:ascii="Times New Roman" w:hAnsi="Times New Roman"/>
        </w:rPr>
        <w:t>N·m</w:t>
      </w:r>
      <w:r>
        <w:rPr>
          <w:rFonts w:hint="eastAsia" w:ascii="Times New Roman" w:hAnsi="Times New Roman"/>
        </w:rPr>
        <w:t>的力矩</w:t>
      </w:r>
      <w:r>
        <w:rPr>
          <w:rFonts w:ascii="Times New Roman" w:hAnsi="Times New Roman"/>
        </w:rPr>
        <w:t>，不</w:t>
      </w:r>
      <w:r>
        <w:rPr>
          <w:rFonts w:hint="eastAsia" w:ascii="Times New Roman" w:hAnsi="Times New Roman"/>
        </w:rPr>
        <w:t>应</w:t>
      </w:r>
      <w:r>
        <w:rPr>
          <w:rFonts w:ascii="Times New Roman" w:hAnsi="Times New Roman"/>
        </w:rPr>
        <w:t>发生变形、失效。</w:t>
      </w:r>
    </w:p>
    <w:p w14:paraId="79F59371">
      <w:pPr>
        <w:pStyle w:val="6"/>
        <w:spacing w:line="360" w:lineRule="exact"/>
        <w:rPr>
          <w:rFonts w:ascii="Times New Roman" w:hAnsi="Times New Roman"/>
        </w:rPr>
      </w:pPr>
      <w:r>
        <w:rPr>
          <w:rFonts w:ascii="Times New Roman" w:hAnsi="Times New Roman"/>
        </w:rPr>
        <w:t>4.4.2.5  三轮汽车在平坦、硬实、干燥和清洁的水泥或沥青道路上行驶，以10 km／h的速度在5 s之内沿螺旋线从直线行驶过渡到半径为12 m的圆周行驶，施加于转向盘（方向把）外缘的最大切向力不</w:t>
      </w:r>
      <w:r>
        <w:rPr>
          <w:rFonts w:hint="eastAsia" w:ascii="Times New Roman" w:hAnsi="Times New Roman"/>
        </w:rPr>
        <w:t>应</w:t>
      </w:r>
      <w:r>
        <w:rPr>
          <w:rFonts w:ascii="Times New Roman" w:hAnsi="Times New Roman"/>
        </w:rPr>
        <w:t>大于245 N。</w:t>
      </w:r>
    </w:p>
    <w:p w14:paraId="160C049F">
      <w:pPr>
        <w:widowControl/>
        <w:spacing w:line="360" w:lineRule="exact"/>
        <w:jc w:val="left"/>
      </w:pPr>
      <w:r>
        <w:t>4.4.2.6  三轮汽车的前减震器、上下连板和方向把不应有变形、裂纹、滴漏油现象。</w:t>
      </w:r>
    </w:p>
    <w:p w14:paraId="2F205C67">
      <w:pPr>
        <w:pStyle w:val="6"/>
        <w:spacing w:line="360" w:lineRule="exact"/>
        <w:rPr>
          <w:rFonts w:ascii="Times New Roman" w:hAnsi="Times New Roman"/>
        </w:rPr>
      </w:pPr>
      <w:r>
        <w:rPr>
          <w:rFonts w:ascii="Times New Roman" w:hAnsi="Times New Roman"/>
        </w:rPr>
        <w:t>4.4.2.7  三轮汽车在平坦、硬实、干燥和清洁的道路上行驶不应跑偏，其</w:t>
      </w:r>
      <w:r>
        <w:rPr>
          <w:rFonts w:hint="eastAsia" w:ascii="Times New Roman" w:hAnsi="Times New Roman"/>
        </w:rPr>
        <w:t>转</w:t>
      </w:r>
      <w:r>
        <w:rPr>
          <w:rFonts w:ascii="Times New Roman" w:hAnsi="Times New Roman"/>
        </w:rPr>
        <w:t>向盘（方向把）不应有摆振等异常现象。</w:t>
      </w:r>
    </w:p>
    <w:p w14:paraId="4DD5905E">
      <w:pPr>
        <w:pStyle w:val="6"/>
        <w:spacing w:line="360" w:lineRule="exact"/>
        <w:rPr>
          <w:rFonts w:ascii="Times New Roman" w:hAnsi="Times New Roman"/>
        </w:rPr>
      </w:pPr>
      <w:r>
        <w:rPr>
          <w:rFonts w:ascii="Times New Roman" w:hAnsi="Times New Roman"/>
        </w:rPr>
        <w:t xml:space="preserve">4.4.2.8  </w:t>
      </w:r>
      <w:r>
        <w:rPr>
          <w:rFonts w:hint="eastAsia" w:ascii="Times New Roman" w:hAnsi="Times New Roman"/>
        </w:rPr>
        <w:t>转</w:t>
      </w:r>
      <w:r>
        <w:rPr>
          <w:rFonts w:ascii="Times New Roman" w:hAnsi="Times New Roman"/>
        </w:rPr>
        <w:t>向</w:t>
      </w:r>
      <w:r>
        <w:rPr>
          <w:rFonts w:hint="eastAsia" w:ascii="Times New Roman" w:hAnsi="Times New Roman"/>
        </w:rPr>
        <w:t>轴</w:t>
      </w:r>
      <w:r>
        <w:rPr>
          <w:rFonts w:ascii="Times New Roman" w:hAnsi="Times New Roman"/>
        </w:rPr>
        <w:t>应无轴向窜动现象。</w:t>
      </w:r>
    </w:p>
    <w:p w14:paraId="6498114B">
      <w:pPr>
        <w:pStyle w:val="6"/>
        <w:spacing w:before="156" w:beforeLines="50" w:after="156" w:afterLines="50" w:line="360" w:lineRule="exact"/>
        <w:rPr>
          <w:rFonts w:ascii="黑体" w:hAnsi="黑体" w:eastAsia="黑体"/>
        </w:rPr>
      </w:pPr>
      <w:r>
        <w:rPr>
          <w:rFonts w:ascii="黑体" w:hAnsi="黑体" w:eastAsia="黑体"/>
        </w:rPr>
        <w:t>4.4.3  制动系</w:t>
      </w:r>
    </w:p>
    <w:p w14:paraId="2BB9D956">
      <w:pPr>
        <w:pStyle w:val="6"/>
        <w:spacing w:before="156" w:beforeLines="50" w:after="156" w:afterLines="50" w:line="360" w:lineRule="exact"/>
        <w:rPr>
          <w:rFonts w:ascii="黑体" w:hAnsi="黑体" w:eastAsia="黑体"/>
        </w:rPr>
      </w:pPr>
      <w:r>
        <w:rPr>
          <w:rFonts w:ascii="黑体" w:hAnsi="黑体" w:eastAsia="黑体"/>
        </w:rPr>
        <w:t>4.4.3.1  基本要求</w:t>
      </w:r>
    </w:p>
    <w:p w14:paraId="78BB1F95">
      <w:pPr>
        <w:pStyle w:val="6"/>
        <w:spacing w:line="360" w:lineRule="exact"/>
        <w:rPr>
          <w:rFonts w:ascii="Times New Roman" w:hAnsi="Times New Roman"/>
        </w:rPr>
      </w:pPr>
      <w:r>
        <w:rPr>
          <w:rFonts w:ascii="Times New Roman" w:hAnsi="Times New Roman" w:eastAsia="方正书宋简体"/>
        </w:rPr>
        <w:t xml:space="preserve">4.4.3.1.1  </w:t>
      </w:r>
      <w:r>
        <w:rPr>
          <w:rFonts w:ascii="Times New Roman" w:hAnsi="Times New Roman"/>
          <w:lang w:bidi="ar"/>
        </w:rPr>
        <w:t xml:space="preserve">应设置足以使三轮汽车减速、停车和驻车的制动系统或装置，且行车制动的控制装置与驻车制动的控制装置应相互独立。 </w:t>
      </w:r>
    </w:p>
    <w:p w14:paraId="682D3326">
      <w:pPr>
        <w:pStyle w:val="6"/>
        <w:spacing w:line="360" w:lineRule="exact"/>
        <w:rPr>
          <w:rFonts w:ascii="Times New Roman" w:hAnsi="Times New Roman"/>
        </w:rPr>
      </w:pPr>
      <w:r>
        <w:rPr>
          <w:rFonts w:ascii="Times New Roman" w:hAnsi="Times New Roman" w:eastAsia="方正书宋简体"/>
        </w:rPr>
        <w:t>4.4.3.1.</w:t>
      </w:r>
      <w:r>
        <w:rPr>
          <w:rFonts w:ascii="Times New Roman" w:hAnsi="Times New Roman"/>
          <w:lang w:bidi="ar"/>
        </w:rPr>
        <w:t xml:space="preserve">2  制动系统的机构和装置应经久耐用，不会因振动或冲击而损坏。 </w:t>
      </w:r>
    </w:p>
    <w:p w14:paraId="18BF8CF8">
      <w:pPr>
        <w:pStyle w:val="6"/>
        <w:spacing w:line="360" w:lineRule="exact"/>
        <w:rPr>
          <w:rFonts w:ascii="Times New Roman" w:hAnsi="Times New Roman"/>
        </w:rPr>
      </w:pPr>
      <w:r>
        <w:rPr>
          <w:rFonts w:ascii="Times New Roman" w:hAnsi="Times New Roman" w:eastAsia="方正书宋简体"/>
        </w:rPr>
        <w:t>4.4.3.1.</w:t>
      </w:r>
      <w:r>
        <w:rPr>
          <w:rFonts w:ascii="Times New Roman" w:hAnsi="Times New Roman"/>
          <w:lang w:bidi="ar"/>
        </w:rPr>
        <w:t xml:space="preserve">3  制动踏板及其支架、制动主缸及其活塞、制动气室、轮缸及其活塞等零部件应易于维修。 </w:t>
      </w:r>
    </w:p>
    <w:p w14:paraId="641E3385">
      <w:pPr>
        <w:pStyle w:val="6"/>
        <w:spacing w:line="360" w:lineRule="exact"/>
        <w:rPr>
          <w:rFonts w:ascii="Times New Roman" w:hAnsi="Times New Roman"/>
        </w:rPr>
      </w:pPr>
      <w:r>
        <w:rPr>
          <w:rFonts w:ascii="Times New Roman" w:hAnsi="Times New Roman" w:eastAsia="方正书宋简体"/>
        </w:rPr>
        <w:t>4.4.3.1.</w:t>
      </w:r>
      <w:r>
        <w:rPr>
          <w:rFonts w:ascii="Times New Roman" w:hAnsi="Times New Roman"/>
          <w:lang w:bidi="ar"/>
        </w:rPr>
        <w:t xml:space="preserve">4  制动系统的各种杆件不应与其他部件在相对位移中发生干涉、摩擦，以防杆件变形、损坏。 </w:t>
      </w:r>
    </w:p>
    <w:p w14:paraId="4835CE8E">
      <w:pPr>
        <w:pStyle w:val="6"/>
        <w:spacing w:line="360" w:lineRule="exact"/>
        <w:rPr>
          <w:rFonts w:asciiTheme="minorEastAsia" w:hAnsiTheme="minorEastAsia" w:eastAsiaTheme="minorEastAsia"/>
        </w:rPr>
      </w:pPr>
      <w:r>
        <w:rPr>
          <w:rFonts w:ascii="Times New Roman" w:hAnsi="Times New Roman" w:eastAsia="方正书宋简体"/>
        </w:rPr>
        <w:t>4.4.3.1.</w:t>
      </w:r>
      <w:r>
        <w:rPr>
          <w:rFonts w:ascii="Times New Roman" w:hAnsi="Times New Roman"/>
          <w:lang w:bidi="ar"/>
        </w:rPr>
        <w:t>5  制动管路应为专用的耐腐蚀的高压管路，安装应保证具有良好的连续功能、足够的长度和柔性， 以适应与之相连接的零件所需要的正常运动，而不致造成损坏；制动管路应有适当的安全防护，以避免擦伤、缠绕或其他机械损伤，同时应避免安装在可能与排气管或任何高温源接触的地方。制动软管不应</w:t>
      </w:r>
      <w:r>
        <w:rPr>
          <w:rFonts w:asciiTheme="minorEastAsia" w:hAnsiTheme="minorEastAsia" w:eastAsiaTheme="minorEastAsia"/>
        </w:rPr>
        <w:t xml:space="preserve">与其他部件干涉且不应有老化、开裂、被压扁、鼓包等现象。其他气动装置在出现故障时不应影响制动 </w:t>
      </w:r>
    </w:p>
    <w:p w14:paraId="72BD3B3E">
      <w:pPr>
        <w:pStyle w:val="6"/>
        <w:spacing w:line="360" w:lineRule="exact"/>
        <w:rPr>
          <w:rFonts w:asciiTheme="minorEastAsia" w:hAnsiTheme="minorEastAsia" w:eastAsiaTheme="minorEastAsia"/>
        </w:rPr>
      </w:pPr>
      <w:r>
        <w:rPr>
          <w:rFonts w:asciiTheme="minorEastAsia" w:hAnsiTheme="minorEastAsia" w:eastAsiaTheme="minorEastAsia"/>
        </w:rPr>
        <w:t>4.4.3.1.6  三轮汽车在运行过程中不应有自行制动现象。</w:t>
      </w:r>
    </w:p>
    <w:p w14:paraId="0BEBAA15">
      <w:pPr>
        <w:pStyle w:val="6"/>
        <w:spacing w:line="360" w:lineRule="exact"/>
        <w:rPr>
          <w:rFonts w:asciiTheme="minorEastAsia" w:hAnsiTheme="minorEastAsia" w:eastAsiaTheme="minorEastAsia"/>
        </w:rPr>
      </w:pPr>
      <w:r>
        <w:rPr>
          <w:rFonts w:ascii="Times New Roman" w:hAnsi="Times New Roman" w:eastAsia="方正书宋简体"/>
        </w:rPr>
        <w:t xml:space="preserve">4.4.3.1.7  </w:t>
      </w:r>
      <w:r>
        <w:rPr>
          <w:rFonts w:asciiTheme="minorEastAsia" w:hAnsiTheme="minorEastAsia" w:eastAsiaTheme="minorEastAsia"/>
        </w:rPr>
        <w:t>行车制动应是可控制的（操纵单个控制装置可以联合控制后车轮的两个制动器），驾驶员在其座位上双手无须离开方向盘或方向把就能实现制动。</w:t>
      </w:r>
    </w:p>
    <w:p w14:paraId="580345BF">
      <w:pPr>
        <w:pStyle w:val="6"/>
        <w:spacing w:line="360" w:lineRule="exact"/>
        <w:rPr>
          <w:rFonts w:ascii="Times New Roman" w:hAnsi="Times New Roman" w:eastAsia="方正书宋简体"/>
        </w:rPr>
      </w:pPr>
      <w:r>
        <w:rPr>
          <w:rFonts w:ascii="Times New Roman" w:hAnsi="Times New Roman" w:eastAsia="方正书宋简体"/>
        </w:rPr>
        <w:t xml:space="preserve">4.4.3.1.8  </w:t>
      </w:r>
      <w:r>
        <w:rPr>
          <w:rFonts w:asciiTheme="minorEastAsia" w:hAnsiTheme="minorEastAsia" w:eastAsiaTheme="minorEastAsia"/>
        </w:rPr>
        <w:t>所有后轮应装备制动器，且具有磨损补偿装置。制动器磨损后，制动间隙应易于通过手动或自动调节装置来补偿。制动控制装置及其部件以及制动器总成应具备一定的储备行程，当制动器发热或制动衬片的磨损达到一定程度时，在不必立即做调整的情况下，仍应保持有效的制动。</w:t>
      </w:r>
    </w:p>
    <w:p w14:paraId="048E9B3E">
      <w:pPr>
        <w:pStyle w:val="6"/>
        <w:spacing w:line="360" w:lineRule="exact"/>
        <w:rPr>
          <w:rFonts w:asciiTheme="minorEastAsia" w:hAnsiTheme="minorEastAsia" w:eastAsiaTheme="minorEastAsia"/>
        </w:rPr>
      </w:pPr>
      <w:r>
        <w:rPr>
          <w:rFonts w:ascii="Times New Roman" w:hAnsi="Times New Roman" w:eastAsia="方正书宋简体"/>
        </w:rPr>
        <w:t xml:space="preserve">4.4.3.1.9  </w:t>
      </w:r>
      <w:r>
        <w:rPr>
          <w:rFonts w:asciiTheme="minorEastAsia" w:hAnsiTheme="minorEastAsia" w:eastAsiaTheme="minorEastAsia"/>
        </w:rPr>
        <w:t>驻车制动应能使三轮汽车即使在没有驾驶人的情况下，也能有效停在20%的上下坡道上。驾驶人应在座位上就能实现驻车制动。</w:t>
      </w:r>
    </w:p>
    <w:p w14:paraId="08A8A82E">
      <w:pPr>
        <w:pStyle w:val="6"/>
        <w:spacing w:line="360" w:lineRule="exact"/>
        <w:rPr>
          <w:rFonts w:asciiTheme="minorEastAsia" w:hAnsiTheme="minorEastAsia" w:eastAsiaTheme="minorEastAsia"/>
        </w:rPr>
      </w:pPr>
      <w:r>
        <w:rPr>
          <w:rFonts w:ascii="Times New Roman" w:hAnsi="Times New Roman" w:eastAsia="方正书宋简体"/>
        </w:rPr>
        <w:t xml:space="preserve">4.4.3.1.10  </w:t>
      </w:r>
      <w:r>
        <w:rPr>
          <w:rFonts w:asciiTheme="minorEastAsia" w:hAnsiTheme="minorEastAsia" w:eastAsiaTheme="minorEastAsia"/>
        </w:rPr>
        <w:t>驻车制动操纵装置的安装位置应适当，操纵装置应有足够的储备行程，一般应在操纵装置全行程的三分之二以内产生规定的制动效能；棘轮式制动操纵装置应保证在达到规定的驻车制动效能时，操纵杆往复拉动的次数不应超过</w:t>
      </w:r>
      <w:r>
        <w:rPr>
          <w:rFonts w:hint="eastAsia" w:asciiTheme="minorEastAsia" w:hAnsiTheme="minorEastAsia" w:eastAsiaTheme="minorEastAsia"/>
        </w:rPr>
        <w:t>3</w:t>
      </w:r>
      <w:r>
        <w:rPr>
          <w:rFonts w:asciiTheme="minorEastAsia" w:hAnsiTheme="minorEastAsia" w:eastAsiaTheme="minorEastAsia"/>
        </w:rPr>
        <w:t xml:space="preserve">次。 </w:t>
      </w:r>
    </w:p>
    <w:p w14:paraId="2EE8C06E">
      <w:pPr>
        <w:pStyle w:val="6"/>
        <w:spacing w:before="156" w:beforeLines="50" w:after="156" w:afterLines="50" w:line="360" w:lineRule="exact"/>
        <w:rPr>
          <w:rFonts w:ascii="黑体" w:hAnsi="黑体" w:eastAsia="黑体"/>
        </w:rPr>
      </w:pPr>
      <w:r>
        <w:rPr>
          <w:rFonts w:ascii="黑体" w:hAnsi="黑体" w:eastAsia="黑体"/>
        </w:rPr>
        <w:t>4.4.3.2  液压制动系统</w:t>
      </w:r>
    </w:p>
    <w:p w14:paraId="398B9BB8">
      <w:pPr>
        <w:pStyle w:val="6"/>
        <w:spacing w:line="360" w:lineRule="exact"/>
        <w:rPr>
          <w:rFonts w:ascii="Times New Roman" w:hAnsi="Times New Roman" w:eastAsia="方正书宋简体"/>
        </w:rPr>
      </w:pPr>
      <w:r>
        <w:rPr>
          <w:rFonts w:ascii="Times New Roman" w:hAnsi="Times New Roman" w:eastAsia="方正书宋简体"/>
        </w:rPr>
        <w:t xml:space="preserve">4.4.3.2.1 </w:t>
      </w:r>
      <w:r>
        <w:rPr>
          <w:rFonts w:hint="eastAsia" w:ascii="Times New Roman" w:hAnsi="Times New Roman" w:eastAsia="方正书宋简体"/>
        </w:rPr>
        <w:t xml:space="preserve"> </w:t>
      </w:r>
      <w:r>
        <w:rPr>
          <w:rFonts w:asciiTheme="minorEastAsia" w:hAnsiTheme="minorEastAsia" w:eastAsiaTheme="minorEastAsia"/>
        </w:rPr>
        <w:t>制动管路不应存在渗漏（包括外泄和内泄）现象，在保持踏板力为700 N</w:t>
      </w:r>
      <w:r>
        <w:rPr>
          <w:rFonts w:hint="eastAsia" w:asciiTheme="minorEastAsia" w:hAnsiTheme="minorEastAsia" w:eastAsiaTheme="minorEastAsia"/>
        </w:rPr>
        <w:t>±10 N</w:t>
      </w:r>
      <w:r>
        <w:rPr>
          <w:rFonts w:asciiTheme="minorEastAsia" w:hAnsiTheme="minorEastAsia" w:eastAsiaTheme="minorEastAsia"/>
        </w:rPr>
        <w:t xml:space="preserve">达到１min时，踏板不应有缓慢向前移动的现象。 </w:t>
      </w:r>
    </w:p>
    <w:p w14:paraId="1AE76500">
      <w:pPr>
        <w:pStyle w:val="6"/>
        <w:spacing w:line="360" w:lineRule="exact"/>
        <w:rPr>
          <w:rFonts w:asciiTheme="minorEastAsia" w:hAnsiTheme="minorEastAsia" w:eastAsiaTheme="minorEastAsia"/>
        </w:rPr>
      </w:pPr>
      <w:r>
        <w:rPr>
          <w:rFonts w:ascii="Times New Roman" w:hAnsi="Times New Roman" w:eastAsia="方正书宋简体"/>
        </w:rPr>
        <w:t xml:space="preserve">4.4.3.2.2  </w:t>
      </w:r>
      <w:r>
        <w:rPr>
          <w:rFonts w:asciiTheme="minorEastAsia" w:hAnsiTheme="minorEastAsia" w:eastAsiaTheme="minorEastAsia"/>
        </w:rPr>
        <w:t>在达到规定的制动效能时，踏板行程应小于或等于踏板全行程的四分之三，制动器装有自动调整间隙装置的</w:t>
      </w:r>
      <w:r>
        <w:rPr>
          <w:rFonts w:hint="eastAsia" w:asciiTheme="minorEastAsia" w:hAnsiTheme="minorEastAsia" w:eastAsiaTheme="minorEastAsia"/>
        </w:rPr>
        <w:t>三轮汽车</w:t>
      </w:r>
      <w:r>
        <w:rPr>
          <w:rFonts w:asciiTheme="minorEastAsia" w:hAnsiTheme="minorEastAsia" w:eastAsiaTheme="minorEastAsia"/>
        </w:rPr>
        <w:t>踏板行程应小于或等于踏板全行程的五分之四，且</w:t>
      </w:r>
      <w:r>
        <w:rPr>
          <w:rFonts w:hint="eastAsia" w:asciiTheme="minorEastAsia" w:hAnsiTheme="minorEastAsia" w:eastAsiaTheme="minorEastAsia"/>
        </w:rPr>
        <w:t>不</w:t>
      </w:r>
      <w:r>
        <w:rPr>
          <w:rFonts w:asciiTheme="minorEastAsia" w:hAnsiTheme="minorEastAsia" w:eastAsiaTheme="minorEastAsia"/>
        </w:rPr>
        <w:t>应</w:t>
      </w:r>
      <w:r>
        <w:rPr>
          <w:rFonts w:hint="eastAsia" w:asciiTheme="minorEastAsia" w:hAnsiTheme="minorEastAsia" w:eastAsiaTheme="minorEastAsia"/>
        </w:rPr>
        <w:t>大</w:t>
      </w:r>
      <w:r>
        <w:rPr>
          <w:rFonts w:asciiTheme="minorEastAsia" w:hAnsiTheme="minorEastAsia" w:eastAsiaTheme="minorEastAsia"/>
        </w:rPr>
        <w:t>于150 mm。</w:t>
      </w:r>
    </w:p>
    <w:p w14:paraId="68E246E2">
      <w:pPr>
        <w:pStyle w:val="6"/>
        <w:spacing w:line="360" w:lineRule="exact"/>
        <w:rPr>
          <w:rFonts w:asciiTheme="minorEastAsia" w:hAnsiTheme="minorEastAsia" w:eastAsiaTheme="minorEastAsia"/>
        </w:rPr>
      </w:pPr>
      <w:r>
        <w:rPr>
          <w:rFonts w:ascii="Times New Roman" w:hAnsi="Times New Roman" w:eastAsia="方正书宋简体"/>
        </w:rPr>
        <w:t xml:space="preserve">4.4.3.2.3  </w:t>
      </w:r>
      <w:r>
        <w:rPr>
          <w:rFonts w:asciiTheme="minorEastAsia" w:hAnsiTheme="minorEastAsia" w:eastAsiaTheme="minorEastAsia"/>
        </w:rPr>
        <w:t xml:space="preserve">液压行车制动系不应由于制动液对制动管路的腐蚀或由于发动机及其他热源的作用形成气阻 </w:t>
      </w:r>
    </w:p>
    <w:p w14:paraId="4ECF6B65">
      <w:pPr>
        <w:pStyle w:val="6"/>
        <w:spacing w:line="360" w:lineRule="exact"/>
        <w:rPr>
          <w:rFonts w:asciiTheme="minorEastAsia" w:hAnsiTheme="minorEastAsia" w:eastAsiaTheme="minorEastAsia"/>
        </w:rPr>
      </w:pPr>
      <w:r>
        <w:rPr>
          <w:rFonts w:asciiTheme="minorEastAsia" w:hAnsiTheme="minorEastAsia" w:eastAsiaTheme="minorEastAsia"/>
        </w:rPr>
        <w:t>而影响行车制动系的功能。</w:t>
      </w:r>
    </w:p>
    <w:p w14:paraId="3714460A">
      <w:pPr>
        <w:pStyle w:val="6"/>
        <w:spacing w:line="360" w:lineRule="exact"/>
        <w:rPr>
          <w:rFonts w:asciiTheme="minorEastAsia" w:hAnsiTheme="minorEastAsia" w:eastAsiaTheme="minorEastAsia"/>
        </w:rPr>
      </w:pPr>
      <w:r>
        <w:rPr>
          <w:rFonts w:ascii="Times New Roman" w:hAnsi="Times New Roman" w:eastAsia="方正书宋简体"/>
        </w:rPr>
        <w:t xml:space="preserve">4.4.3.2.4  </w:t>
      </w:r>
      <w:r>
        <w:rPr>
          <w:rFonts w:asciiTheme="minorEastAsia" w:hAnsiTheme="minorEastAsia" w:eastAsiaTheme="minorEastAsia"/>
        </w:rPr>
        <w:t>储液器的加注口应易于接近，从结构设计上应保证在不打开容器条件下就能很容易地检查液面。如不能满足此条件，则应安装制动液面过低报警装置。</w:t>
      </w:r>
    </w:p>
    <w:p w14:paraId="2832101C">
      <w:pPr>
        <w:pStyle w:val="6"/>
        <w:spacing w:before="156" w:beforeLines="50" w:after="156" w:afterLines="50" w:line="360" w:lineRule="exact"/>
        <w:rPr>
          <w:rFonts w:ascii="Times New Roman" w:hAnsi="Times New Roman" w:eastAsia="黑体"/>
        </w:rPr>
      </w:pPr>
      <w:r>
        <w:rPr>
          <w:rFonts w:ascii="黑体" w:hAnsi="黑体" w:eastAsia="黑体"/>
        </w:rPr>
        <w:t>4.4.3.3  气压制动系统</w:t>
      </w:r>
    </w:p>
    <w:p w14:paraId="41D69313">
      <w:pPr>
        <w:pStyle w:val="6"/>
        <w:spacing w:line="360" w:lineRule="exact"/>
        <w:rPr>
          <w:rFonts w:asciiTheme="minorEastAsia" w:hAnsiTheme="minorEastAsia" w:eastAsiaTheme="minorEastAsia"/>
        </w:rPr>
      </w:pPr>
      <w:r>
        <w:rPr>
          <w:rFonts w:ascii="Times New Roman" w:hAnsi="Times New Roman"/>
        </w:rPr>
        <w:t xml:space="preserve">4.4.3.3.1  </w:t>
      </w:r>
      <w:r>
        <w:rPr>
          <w:rFonts w:asciiTheme="minorEastAsia" w:hAnsiTheme="minorEastAsia" w:eastAsiaTheme="minorEastAsia"/>
        </w:rPr>
        <w:t>气压制动系统从踩下制动踏板到</w:t>
      </w:r>
      <w:r>
        <w:rPr>
          <w:rFonts w:hint="eastAsia" w:asciiTheme="minorEastAsia" w:hAnsiTheme="minorEastAsia" w:eastAsiaTheme="minorEastAsia"/>
        </w:rPr>
        <w:t>后桥</w:t>
      </w:r>
      <w:r>
        <w:rPr>
          <w:rFonts w:asciiTheme="minorEastAsia" w:hAnsiTheme="minorEastAsia" w:eastAsiaTheme="minorEastAsia"/>
        </w:rPr>
        <w:t>制动气室响应时间</w:t>
      </w:r>
      <w:r>
        <w:rPr>
          <w:rFonts w:hint="eastAsia" w:asciiTheme="minorEastAsia" w:hAnsiTheme="minorEastAsia" w:eastAsiaTheme="minorEastAsia"/>
        </w:rPr>
        <w:t>不</w:t>
      </w:r>
      <w:r>
        <w:rPr>
          <w:rFonts w:asciiTheme="minorEastAsia" w:hAnsiTheme="minorEastAsia" w:eastAsiaTheme="minorEastAsia"/>
        </w:rPr>
        <w:t>应</w:t>
      </w:r>
      <w:r>
        <w:rPr>
          <w:rFonts w:hint="eastAsia" w:asciiTheme="minorEastAsia" w:hAnsiTheme="minorEastAsia" w:eastAsiaTheme="minorEastAsia"/>
        </w:rPr>
        <w:t>大</w:t>
      </w:r>
      <w:r>
        <w:rPr>
          <w:rFonts w:asciiTheme="minorEastAsia" w:hAnsiTheme="minorEastAsia" w:eastAsiaTheme="minorEastAsia"/>
        </w:rPr>
        <w:t>于0.6 s。制动气室响应时间的数值（取值到0.01</w:t>
      </w:r>
      <w:r>
        <w:rPr>
          <w:rFonts w:hint="eastAsia" w:asciiTheme="minorEastAsia" w:hAnsiTheme="minorEastAsia" w:eastAsiaTheme="minorEastAsia"/>
        </w:rPr>
        <w:t xml:space="preserve"> </w:t>
      </w:r>
      <w:r>
        <w:rPr>
          <w:rFonts w:asciiTheme="minorEastAsia" w:hAnsiTheme="minorEastAsia" w:eastAsiaTheme="minorEastAsia"/>
        </w:rPr>
        <w:t>s，精确到0.05</w:t>
      </w:r>
      <w:r>
        <w:rPr>
          <w:rFonts w:hint="eastAsia" w:asciiTheme="minorEastAsia" w:hAnsiTheme="minorEastAsia" w:eastAsiaTheme="minorEastAsia"/>
        </w:rPr>
        <w:t xml:space="preserve"> </w:t>
      </w:r>
      <w:r>
        <w:rPr>
          <w:rFonts w:asciiTheme="minorEastAsia" w:hAnsiTheme="minorEastAsia" w:eastAsiaTheme="minorEastAsia"/>
        </w:rPr>
        <w:t>s）应在产品标牌（或</w:t>
      </w:r>
      <w:r>
        <w:rPr>
          <w:rFonts w:hint="eastAsia" w:asciiTheme="minorEastAsia" w:hAnsiTheme="minorEastAsia" w:eastAsiaTheme="minorEastAsia"/>
        </w:rPr>
        <w:t>三轮汽车</w:t>
      </w:r>
      <w:r>
        <w:rPr>
          <w:rFonts w:asciiTheme="minorEastAsia" w:hAnsiTheme="minorEastAsia" w:eastAsiaTheme="minorEastAsia"/>
        </w:rPr>
        <w:t>易见部位上设置的其他能永久保持的标识）上清晰标示。</w:t>
      </w:r>
    </w:p>
    <w:p w14:paraId="4BE20E3F">
      <w:pPr>
        <w:pStyle w:val="6"/>
        <w:spacing w:line="360" w:lineRule="exact"/>
        <w:ind w:firstLine="420"/>
        <w:rPr>
          <w:rFonts w:ascii="Times New Roman" w:hAnsi="Times New Roman"/>
          <w:sz w:val="18"/>
          <w:szCs w:val="21"/>
        </w:rPr>
      </w:pPr>
      <w:r>
        <w:rPr>
          <w:rFonts w:hint="eastAsia" w:ascii="Times New Roman" w:hAnsi="Times New Roman"/>
          <w:sz w:val="18"/>
          <w:szCs w:val="21"/>
        </w:rPr>
        <w:t>注：</w:t>
      </w:r>
      <w:r>
        <w:rPr>
          <w:rFonts w:asciiTheme="minorEastAsia" w:hAnsiTheme="minorEastAsia" w:eastAsiaTheme="minorEastAsia"/>
          <w:sz w:val="18"/>
          <w:szCs w:val="21"/>
        </w:rPr>
        <w:t>制动气室响应时间</w:t>
      </w:r>
      <w:r>
        <w:rPr>
          <w:rFonts w:hint="eastAsia" w:asciiTheme="minorEastAsia" w:hAnsiTheme="minorEastAsia" w:eastAsiaTheme="minorEastAsia"/>
          <w:sz w:val="18"/>
          <w:szCs w:val="21"/>
        </w:rPr>
        <w:t>是指在0.2s内急踩制动时，在制动踏板动作起至后桥制动气室内的压力达到其稳态值的75%时所经历的时间。</w:t>
      </w:r>
    </w:p>
    <w:p w14:paraId="3C78048A">
      <w:pPr>
        <w:pStyle w:val="6"/>
        <w:spacing w:line="360" w:lineRule="exact"/>
        <w:rPr>
          <w:rFonts w:ascii="Times New Roman" w:hAnsi="Times New Roman" w:eastAsia="方正书宋简体"/>
        </w:rPr>
      </w:pPr>
      <w:r>
        <w:rPr>
          <w:rFonts w:ascii="Times New Roman" w:hAnsi="Times New Roman" w:eastAsia="黑体"/>
        </w:rPr>
        <w:t>4.4.3.3</w:t>
      </w:r>
      <w:r>
        <w:rPr>
          <w:rFonts w:ascii="Times New Roman" w:hAnsi="Times New Roman" w:eastAsia="方正书宋简体"/>
        </w:rPr>
        <w:t xml:space="preserve">.2  </w:t>
      </w:r>
      <w:r>
        <w:rPr>
          <w:rFonts w:asciiTheme="minorEastAsia" w:hAnsiTheme="minorEastAsia" w:eastAsiaTheme="minorEastAsia"/>
        </w:rPr>
        <w:t>气压制动系统应装有限压装置</w:t>
      </w:r>
      <w:r>
        <w:rPr>
          <w:rFonts w:hint="eastAsia" w:asciiTheme="minorEastAsia" w:hAnsiTheme="minorEastAsia" w:eastAsiaTheme="minorEastAsia"/>
        </w:rPr>
        <w:t>。</w:t>
      </w:r>
      <w:r>
        <w:rPr>
          <w:rFonts w:asciiTheme="minorEastAsia" w:hAnsiTheme="minorEastAsia" w:eastAsiaTheme="minorEastAsia"/>
        </w:rPr>
        <w:t>贮气筒内气压不</w:t>
      </w:r>
      <w:r>
        <w:rPr>
          <w:rFonts w:hint="eastAsia" w:asciiTheme="minorEastAsia" w:hAnsiTheme="minorEastAsia" w:eastAsiaTheme="minorEastAsia"/>
        </w:rPr>
        <w:t>应超过</w:t>
      </w:r>
      <w:r>
        <w:rPr>
          <w:rFonts w:asciiTheme="minorEastAsia" w:hAnsiTheme="minorEastAsia" w:eastAsiaTheme="minorEastAsia"/>
        </w:rPr>
        <w:t>允许的最高气压。</w:t>
      </w:r>
    </w:p>
    <w:p w14:paraId="7AE0D63F">
      <w:pPr>
        <w:pStyle w:val="6"/>
        <w:spacing w:line="360" w:lineRule="exact"/>
        <w:rPr>
          <w:rFonts w:ascii="Times New Roman" w:hAnsi="Times New Roman" w:eastAsia="方正书宋简体"/>
        </w:rPr>
      </w:pPr>
      <w:r>
        <w:rPr>
          <w:rFonts w:ascii="Times New Roman" w:hAnsi="Times New Roman" w:eastAsia="黑体"/>
        </w:rPr>
        <w:t>4.4.3.3</w:t>
      </w:r>
      <w:r>
        <w:rPr>
          <w:rFonts w:ascii="Times New Roman" w:hAnsi="Times New Roman" w:eastAsia="方正书宋简体"/>
        </w:rPr>
        <w:t xml:space="preserve">.3  </w:t>
      </w:r>
      <w:r>
        <w:rPr>
          <w:rFonts w:asciiTheme="minorEastAsia" w:hAnsiTheme="minorEastAsia" w:eastAsiaTheme="minorEastAsia"/>
        </w:rPr>
        <w:t>气压制动系应安装保持压缩空气干燥、油水分离的装置。</w:t>
      </w:r>
    </w:p>
    <w:p w14:paraId="551A1F1E">
      <w:pPr>
        <w:pStyle w:val="6"/>
        <w:spacing w:line="360" w:lineRule="exact"/>
        <w:rPr>
          <w:rFonts w:ascii="Times New Roman" w:hAnsi="Times New Roman"/>
        </w:rPr>
      </w:pPr>
      <w:r>
        <w:rPr>
          <w:rFonts w:ascii="Times New Roman" w:hAnsi="Times New Roman" w:eastAsia="黑体"/>
        </w:rPr>
        <w:t>4.4.3.3</w:t>
      </w:r>
      <w:r>
        <w:rPr>
          <w:rFonts w:ascii="Times New Roman" w:hAnsi="Times New Roman" w:eastAsia="方正书宋简体"/>
        </w:rPr>
        <w:t xml:space="preserve">.4  </w:t>
      </w:r>
      <w:r>
        <w:rPr>
          <w:rFonts w:asciiTheme="minorEastAsia" w:hAnsiTheme="minorEastAsia" w:eastAsiaTheme="minorEastAsia"/>
        </w:rPr>
        <w:t>储气筒应有排污阀，且储气筒的容量应保证在额定工作气压且不继续充气的情况下，在连续五次踩到底的全行程制动后，气压不低于起步气压。储气筒（有压力表等压力显示装置的除外）和制动气室应具有可用于测试管路制动压力的连接器。</w:t>
      </w:r>
    </w:p>
    <w:p w14:paraId="6E723B5C">
      <w:pPr>
        <w:pStyle w:val="6"/>
        <w:spacing w:line="360" w:lineRule="exact"/>
        <w:rPr>
          <w:rFonts w:ascii="Times New Roman" w:hAnsi="Times New Roman" w:eastAsia="方正书宋简体"/>
        </w:rPr>
      </w:pPr>
      <w:r>
        <w:rPr>
          <w:rFonts w:ascii="Times New Roman" w:hAnsi="Times New Roman" w:eastAsia="黑体"/>
        </w:rPr>
        <w:t>4.4.3.3</w:t>
      </w:r>
      <w:r>
        <w:rPr>
          <w:rFonts w:ascii="Times New Roman" w:hAnsi="Times New Roman" w:eastAsia="方正书宋简体"/>
        </w:rPr>
        <w:t xml:space="preserve">.5  </w:t>
      </w:r>
      <w:r>
        <w:rPr>
          <w:rFonts w:asciiTheme="minorEastAsia" w:hAnsiTheme="minorEastAsia" w:eastAsiaTheme="minorEastAsia"/>
        </w:rPr>
        <w:t>在气压升至750 kPa（或能达到的最大行车制动管路压力，两者取小的值）且不使用制动的情况下，停止空气压缩机工作3 min后，其气压的降低值</w:t>
      </w:r>
      <w:r>
        <w:rPr>
          <w:rFonts w:hint="eastAsia" w:asciiTheme="minorEastAsia" w:hAnsiTheme="minorEastAsia" w:eastAsiaTheme="minorEastAsia"/>
        </w:rPr>
        <w:t>不</w:t>
      </w:r>
      <w:r>
        <w:rPr>
          <w:rFonts w:asciiTheme="minorEastAsia" w:hAnsiTheme="minorEastAsia" w:eastAsiaTheme="minorEastAsia"/>
        </w:rPr>
        <w:t>应</w:t>
      </w:r>
      <w:r>
        <w:rPr>
          <w:rFonts w:hint="eastAsia" w:asciiTheme="minorEastAsia" w:hAnsiTheme="minorEastAsia" w:eastAsiaTheme="minorEastAsia"/>
        </w:rPr>
        <w:t>大</w:t>
      </w:r>
      <w:r>
        <w:rPr>
          <w:rFonts w:asciiTheme="minorEastAsia" w:hAnsiTheme="minorEastAsia" w:eastAsiaTheme="minorEastAsia"/>
        </w:rPr>
        <w:t>于10 kPa。在气压为750 kPa（或能达到的最大行车制动管路压力，两者取小的值）的情况下，停止空气压缩机工作，将制动踏板踩到底，待气压稳定后观察3 min，气压降低值</w:t>
      </w:r>
      <w:r>
        <w:rPr>
          <w:rFonts w:hint="eastAsia" w:asciiTheme="minorEastAsia" w:hAnsiTheme="minorEastAsia" w:eastAsiaTheme="minorEastAsia"/>
        </w:rPr>
        <w:t>不</w:t>
      </w:r>
      <w:r>
        <w:rPr>
          <w:rFonts w:asciiTheme="minorEastAsia" w:hAnsiTheme="minorEastAsia" w:eastAsiaTheme="minorEastAsia"/>
        </w:rPr>
        <w:t>应</w:t>
      </w:r>
      <w:r>
        <w:rPr>
          <w:rFonts w:hint="eastAsia" w:asciiTheme="minorEastAsia" w:hAnsiTheme="minorEastAsia" w:eastAsiaTheme="minorEastAsia"/>
        </w:rPr>
        <w:t>大</w:t>
      </w:r>
      <w:r>
        <w:rPr>
          <w:rFonts w:asciiTheme="minorEastAsia" w:hAnsiTheme="minorEastAsia" w:eastAsiaTheme="minorEastAsia"/>
        </w:rPr>
        <w:t>于20 kPa。发动机在75 %的额定转速下，4 min内气压表的指示气压应从零开始升至起步气压。</w:t>
      </w:r>
      <w:r>
        <w:rPr>
          <w:rFonts w:ascii="Times New Roman" w:hAnsi="Times New Roman" w:eastAsia="方正书宋简体"/>
        </w:rPr>
        <w:t xml:space="preserve"> </w:t>
      </w:r>
    </w:p>
    <w:p w14:paraId="563C13B7">
      <w:pPr>
        <w:pStyle w:val="6"/>
        <w:spacing w:line="360" w:lineRule="exact"/>
        <w:rPr>
          <w:rFonts w:ascii="Times New Roman" w:hAnsi="Times New Roman" w:eastAsia="方正书宋简体"/>
        </w:rPr>
      </w:pPr>
      <w:r>
        <w:rPr>
          <w:rFonts w:ascii="Times New Roman" w:hAnsi="Times New Roman" w:eastAsia="方正书宋简体"/>
        </w:rPr>
        <w:t xml:space="preserve">4.4.3.3.6  </w:t>
      </w:r>
      <w:r>
        <w:rPr>
          <w:rFonts w:asciiTheme="minorEastAsia" w:hAnsiTheme="minorEastAsia" w:eastAsiaTheme="minorEastAsia"/>
        </w:rPr>
        <w:t>在产品标牌（或三轮汽车易见部位上设置的其他能永久保持的标识）上清晰标示储气筒额定工作气压的数值。</w:t>
      </w:r>
    </w:p>
    <w:p w14:paraId="313CAF1A">
      <w:pPr>
        <w:pStyle w:val="6"/>
        <w:spacing w:line="360" w:lineRule="exact"/>
        <w:rPr>
          <w:rFonts w:asciiTheme="minorEastAsia" w:hAnsiTheme="minorEastAsia" w:eastAsiaTheme="minorEastAsia"/>
        </w:rPr>
      </w:pPr>
      <w:r>
        <w:rPr>
          <w:rFonts w:ascii="Times New Roman" w:hAnsi="Times New Roman" w:eastAsia="黑体"/>
        </w:rPr>
        <w:t>4.4.3.3</w:t>
      </w:r>
      <w:r>
        <w:rPr>
          <w:rFonts w:ascii="Times New Roman" w:hAnsi="Times New Roman" w:eastAsia="方正书宋简体"/>
        </w:rPr>
        <w:t xml:space="preserve">.7  </w:t>
      </w:r>
      <w:r>
        <w:rPr>
          <w:rFonts w:asciiTheme="minorEastAsia" w:hAnsiTheme="minorEastAsia" w:eastAsiaTheme="minorEastAsia"/>
        </w:rPr>
        <w:t>制动系统</w:t>
      </w:r>
      <w:r>
        <w:rPr>
          <w:rFonts w:hint="eastAsia" w:asciiTheme="minorEastAsia" w:hAnsiTheme="minorEastAsia" w:eastAsiaTheme="minorEastAsia"/>
        </w:rPr>
        <w:t>的起步气压应在产品使用说明书中明确规定，且</w:t>
      </w:r>
      <w:r>
        <w:rPr>
          <w:rFonts w:asciiTheme="minorEastAsia" w:hAnsiTheme="minorEastAsia" w:eastAsiaTheme="minorEastAsia"/>
        </w:rPr>
        <w:t>制动系统</w:t>
      </w:r>
      <w:r>
        <w:rPr>
          <w:rFonts w:hint="eastAsia" w:asciiTheme="minorEastAsia" w:hAnsiTheme="minorEastAsia" w:eastAsiaTheme="minorEastAsia"/>
        </w:rPr>
        <w:t>的</w:t>
      </w:r>
      <w:r>
        <w:rPr>
          <w:rFonts w:asciiTheme="minorEastAsia" w:hAnsiTheme="minorEastAsia" w:eastAsiaTheme="minorEastAsia"/>
        </w:rPr>
        <w:t>气压低于起步气压时，报警装置应能连续向驾驶人发出容易听到或看到的报警信号。</w:t>
      </w:r>
    </w:p>
    <w:p w14:paraId="2AA0AC6F">
      <w:pPr>
        <w:pStyle w:val="6"/>
        <w:spacing w:before="156" w:beforeLines="50" w:after="156" w:afterLines="50" w:line="360" w:lineRule="exact"/>
        <w:rPr>
          <w:rFonts w:ascii="黑体" w:hAnsi="黑体" w:eastAsia="黑体"/>
        </w:rPr>
      </w:pPr>
      <w:r>
        <w:rPr>
          <w:rFonts w:ascii="黑体" w:hAnsi="黑体" w:eastAsia="黑体"/>
        </w:rPr>
        <w:t>4.4.3.4  性能要求</w:t>
      </w:r>
    </w:p>
    <w:p w14:paraId="06FA5883">
      <w:pPr>
        <w:spacing w:line="360" w:lineRule="exact"/>
      </w:pPr>
      <w:r>
        <w:t>4.4.3.4.1  在规定试验条件下，三轮汽车空载和满载的路试行车制动距离</w:t>
      </w:r>
      <w:r>
        <w:rPr>
          <w:rFonts w:hint="eastAsia"/>
        </w:rPr>
        <w:t>、</w:t>
      </w:r>
      <w:r>
        <w:t>制动稳定性</w:t>
      </w:r>
      <w:r>
        <w:rPr>
          <w:rFonts w:hint="eastAsia"/>
        </w:rPr>
        <w:t>和</w:t>
      </w:r>
      <w:r>
        <w:t>制动踏板力</w:t>
      </w:r>
      <w:r>
        <w:rPr>
          <w:rFonts w:hint="eastAsia"/>
        </w:rPr>
        <w:t>、</w:t>
      </w:r>
      <w:r>
        <w:t>或制动减速度（充分发出的平均减速度）</w:t>
      </w:r>
      <w:r>
        <w:rPr>
          <w:rFonts w:hint="eastAsia"/>
        </w:rPr>
        <w:t>、</w:t>
      </w:r>
      <w:r>
        <w:t>制动稳定性</w:t>
      </w:r>
      <w:r>
        <w:rPr>
          <w:rFonts w:hint="eastAsia"/>
        </w:rPr>
        <w:t>和</w:t>
      </w:r>
      <w:r>
        <w:t>制动踏板力应符合表1的规定。</w:t>
      </w:r>
    </w:p>
    <w:p w14:paraId="7FDDE816">
      <w:pPr>
        <w:pStyle w:val="6"/>
        <w:spacing w:line="360" w:lineRule="exact"/>
        <w:ind w:firstLine="360" w:firstLineChars="200"/>
        <w:rPr>
          <w:rFonts w:asciiTheme="minorEastAsia" w:hAnsiTheme="minorEastAsia" w:eastAsiaTheme="minorEastAsia"/>
          <w:sz w:val="18"/>
          <w:szCs w:val="18"/>
        </w:rPr>
      </w:pPr>
      <w:r>
        <w:rPr>
          <w:rFonts w:ascii="Times New Roman" w:hAnsi="Times New Roman"/>
          <w:sz w:val="18"/>
          <w:szCs w:val="18"/>
        </w:rPr>
        <w:t>注：</w:t>
      </w:r>
      <w:r>
        <w:rPr>
          <w:rFonts w:asciiTheme="minorEastAsia" w:hAnsiTheme="minorEastAsia" w:eastAsiaTheme="minorEastAsia"/>
          <w:sz w:val="18"/>
          <w:szCs w:val="18"/>
        </w:rPr>
        <w:t>制动稳定性要求是指制动过程中三轮汽车的任何部位（不计入车宽的部位除外）不超出规定宽度的试验通道的边缘线。</w:t>
      </w:r>
    </w:p>
    <w:p w14:paraId="0186B9FC">
      <w:pPr>
        <w:spacing w:line="360" w:lineRule="exact"/>
        <w:jc w:val="center"/>
        <w:rPr>
          <w:rFonts w:ascii="黑体" w:hAnsi="黑体" w:eastAsia="黑体"/>
        </w:rPr>
      </w:pPr>
      <w:r>
        <w:rPr>
          <w:rFonts w:ascii="黑体" w:hAnsi="黑体" w:eastAsia="黑体"/>
        </w:rPr>
        <w:t>表1  制动性能要求</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2"/>
        <w:gridCol w:w="1533"/>
        <w:gridCol w:w="1883"/>
        <w:gridCol w:w="1417"/>
        <w:gridCol w:w="3496"/>
      </w:tblGrid>
      <w:tr w14:paraId="2301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412" w:type="dxa"/>
            <w:shd w:val="clear" w:color="auto" w:fill="auto"/>
            <w:vAlign w:val="center"/>
          </w:tcPr>
          <w:p w14:paraId="3653DBA3">
            <w:pPr>
              <w:spacing w:line="360" w:lineRule="exact"/>
              <w:jc w:val="center"/>
            </w:pPr>
            <w:r>
              <w:t>规定初速度</w:t>
            </w:r>
          </w:p>
        </w:tc>
        <w:tc>
          <w:tcPr>
            <w:tcW w:w="1533" w:type="dxa"/>
            <w:shd w:val="clear" w:color="auto" w:fill="auto"/>
            <w:vAlign w:val="center"/>
          </w:tcPr>
          <w:p w14:paraId="36511E3F">
            <w:pPr>
              <w:spacing w:line="360" w:lineRule="exact"/>
              <w:jc w:val="center"/>
            </w:pPr>
            <w:r>
              <w:t>制动距离</w:t>
            </w:r>
          </w:p>
        </w:tc>
        <w:tc>
          <w:tcPr>
            <w:tcW w:w="1883" w:type="dxa"/>
            <w:shd w:val="clear" w:color="auto" w:fill="auto"/>
            <w:vAlign w:val="center"/>
          </w:tcPr>
          <w:p w14:paraId="2D54DFC3">
            <w:pPr>
              <w:spacing w:line="360" w:lineRule="exact"/>
              <w:jc w:val="center"/>
              <w:rPr>
                <w:vertAlign w:val="superscript"/>
              </w:rPr>
            </w:pPr>
            <w:r>
              <w:t>制动减速度</w:t>
            </w:r>
          </w:p>
        </w:tc>
        <w:tc>
          <w:tcPr>
            <w:tcW w:w="1417" w:type="dxa"/>
            <w:shd w:val="clear" w:color="auto" w:fill="auto"/>
            <w:vAlign w:val="center"/>
          </w:tcPr>
          <w:p w14:paraId="18253EF8">
            <w:pPr>
              <w:spacing w:line="360" w:lineRule="exact"/>
              <w:jc w:val="center"/>
            </w:pPr>
            <w:r>
              <w:t xml:space="preserve">试验通道 </w:t>
            </w:r>
          </w:p>
        </w:tc>
        <w:tc>
          <w:tcPr>
            <w:tcW w:w="3496" w:type="dxa"/>
            <w:shd w:val="clear" w:color="auto" w:fill="auto"/>
            <w:vAlign w:val="center"/>
          </w:tcPr>
          <w:p w14:paraId="44A557AB">
            <w:pPr>
              <w:spacing w:line="360" w:lineRule="exact"/>
              <w:jc w:val="center"/>
            </w:pPr>
            <w:r>
              <w:t xml:space="preserve">制动力踏板力 </w:t>
            </w:r>
          </w:p>
        </w:tc>
      </w:tr>
      <w:tr w14:paraId="75E0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412" w:type="dxa"/>
            <w:shd w:val="clear" w:color="auto" w:fill="auto"/>
            <w:vAlign w:val="center"/>
          </w:tcPr>
          <w:p w14:paraId="1788CB01">
            <w:pPr>
              <w:spacing w:line="360" w:lineRule="exact"/>
              <w:jc w:val="center"/>
            </w:pPr>
            <w:r>
              <w:t>20</w:t>
            </w:r>
            <w:r>
              <w:rPr>
                <w:rFonts w:hint="eastAsia"/>
              </w:rPr>
              <w:t xml:space="preserve"> </w:t>
            </w:r>
            <w:r>
              <w:t>km/h</w:t>
            </w:r>
          </w:p>
        </w:tc>
        <w:tc>
          <w:tcPr>
            <w:tcW w:w="1533" w:type="dxa"/>
            <w:shd w:val="clear" w:color="auto" w:fill="auto"/>
            <w:vAlign w:val="center"/>
          </w:tcPr>
          <w:p w14:paraId="6A359873">
            <w:pPr>
              <w:spacing w:line="360" w:lineRule="exact"/>
              <w:jc w:val="center"/>
            </w:pPr>
            <w:r>
              <w:t>≤5.0</w:t>
            </w:r>
            <w:r>
              <w:rPr>
                <w:rFonts w:hint="eastAsia"/>
              </w:rPr>
              <w:t xml:space="preserve"> </w:t>
            </w:r>
            <w:r>
              <w:t>m</w:t>
            </w:r>
          </w:p>
        </w:tc>
        <w:tc>
          <w:tcPr>
            <w:tcW w:w="1883" w:type="dxa"/>
            <w:shd w:val="clear" w:color="auto" w:fill="auto"/>
            <w:vAlign w:val="center"/>
          </w:tcPr>
          <w:p w14:paraId="5DF80CAB">
            <w:pPr>
              <w:spacing w:line="360" w:lineRule="exact"/>
              <w:jc w:val="center"/>
            </w:pPr>
            <w:r>
              <w:t>≤3.8</w:t>
            </w:r>
            <w:r>
              <w:rPr>
                <w:rFonts w:hint="eastAsia"/>
              </w:rPr>
              <w:t xml:space="preserve"> </w:t>
            </w:r>
            <w:r>
              <w:t>m/s</w:t>
            </w:r>
            <w:r>
              <w:rPr>
                <w:vertAlign w:val="superscript"/>
              </w:rPr>
              <w:t>2</w:t>
            </w:r>
          </w:p>
        </w:tc>
        <w:tc>
          <w:tcPr>
            <w:tcW w:w="1417" w:type="dxa"/>
            <w:shd w:val="clear" w:color="auto" w:fill="auto"/>
            <w:vAlign w:val="center"/>
          </w:tcPr>
          <w:p w14:paraId="7F4E5A80">
            <w:pPr>
              <w:spacing w:line="360" w:lineRule="exact"/>
              <w:jc w:val="center"/>
            </w:pPr>
            <w:r>
              <w:t>2.5</w:t>
            </w:r>
            <w:r>
              <w:rPr>
                <w:rFonts w:hint="eastAsia"/>
              </w:rPr>
              <w:t xml:space="preserve"> </w:t>
            </w:r>
            <w:r>
              <w:t>m</w:t>
            </w:r>
          </w:p>
        </w:tc>
        <w:tc>
          <w:tcPr>
            <w:tcW w:w="3496" w:type="dxa"/>
            <w:shd w:val="clear" w:color="auto" w:fill="auto"/>
            <w:vAlign w:val="center"/>
          </w:tcPr>
          <w:p w14:paraId="0FD5C9E7">
            <w:pPr>
              <w:spacing w:line="360" w:lineRule="exact"/>
            </w:pPr>
            <w:r>
              <w:t>液压：≤600N</w:t>
            </w:r>
            <w:r>
              <w:rPr>
                <w:rFonts w:hint="eastAsia"/>
              </w:rPr>
              <w:t>（空载）/</w:t>
            </w:r>
            <w:r>
              <w:t>≤</w:t>
            </w:r>
            <w:r>
              <w:rPr>
                <w:rFonts w:hint="eastAsia"/>
              </w:rPr>
              <w:t>7</w:t>
            </w:r>
            <w:r>
              <w:t>00N</w:t>
            </w:r>
            <w:r>
              <w:rPr>
                <w:rFonts w:hint="eastAsia"/>
              </w:rPr>
              <w:t>（满载）</w:t>
            </w:r>
          </w:p>
          <w:p w14:paraId="2C5D1915">
            <w:pPr>
              <w:spacing w:line="360" w:lineRule="exact"/>
            </w:pPr>
            <w:r>
              <w:t>气压：≤额定工作气压kPa（满载）</w:t>
            </w:r>
            <w:r>
              <w:rPr>
                <w:rFonts w:hint="eastAsia"/>
              </w:rPr>
              <w:t>/</w:t>
            </w:r>
            <w:r>
              <w:t>≤750kPa（空载）</w:t>
            </w:r>
          </w:p>
        </w:tc>
      </w:tr>
    </w:tbl>
    <w:p w14:paraId="4BECBF97">
      <w:pPr>
        <w:pStyle w:val="6"/>
        <w:spacing w:line="360" w:lineRule="exact"/>
        <w:rPr>
          <w:rFonts w:ascii="Times New Roman" w:hAnsi="Times New Roman" w:eastAsia="方正书宋简体"/>
        </w:rPr>
      </w:pPr>
    </w:p>
    <w:p w14:paraId="445BB1EB">
      <w:pPr>
        <w:pStyle w:val="6"/>
        <w:spacing w:line="360" w:lineRule="exact"/>
        <w:rPr>
          <w:rFonts w:ascii="Times New Roman" w:hAnsi="Times New Roman" w:eastAsia="方正书宋简体"/>
        </w:rPr>
      </w:pPr>
      <w:r>
        <w:rPr>
          <w:rFonts w:ascii="Times New Roman" w:hAnsi="Times New Roman" w:eastAsia="方正书宋简体"/>
        </w:rPr>
        <w:t xml:space="preserve">4.4.3.4.2  </w:t>
      </w:r>
      <w:r>
        <w:rPr>
          <w:rFonts w:asciiTheme="minorEastAsia" w:hAnsiTheme="minorEastAsia" w:eastAsiaTheme="minorEastAsia"/>
        </w:rPr>
        <w:t>三轮汽车空载、无驾驶人情况下，驻车制动装置应能保证三轮汽车在坡度为20%、通过机械装置把工作部件锁止（手操纵力</w:t>
      </w:r>
      <w:r>
        <w:rPr>
          <w:rFonts w:hint="eastAsia" w:asciiTheme="minorEastAsia" w:hAnsiTheme="minorEastAsia" w:eastAsiaTheme="minorEastAsia"/>
        </w:rPr>
        <w:t>不应大于</w:t>
      </w:r>
      <w:r>
        <w:rPr>
          <w:rFonts w:asciiTheme="minorEastAsia" w:hAnsiTheme="minorEastAsia" w:eastAsiaTheme="minorEastAsia"/>
        </w:rPr>
        <w:t>600 N、脚操纵力</w:t>
      </w:r>
      <w:r>
        <w:rPr>
          <w:rFonts w:hint="eastAsia" w:asciiTheme="minorEastAsia" w:hAnsiTheme="minorEastAsia" w:eastAsiaTheme="minorEastAsia"/>
        </w:rPr>
        <w:t>不应大于</w:t>
      </w:r>
      <w:r>
        <w:rPr>
          <w:rFonts w:asciiTheme="minorEastAsia" w:hAnsiTheme="minorEastAsia" w:eastAsiaTheme="minorEastAsia"/>
        </w:rPr>
        <w:t>700 N）、轮胎与路面间的附着系数不小于0.7的坡道上正、反两个方向保持固定不动，其时间不</w:t>
      </w:r>
      <w:r>
        <w:rPr>
          <w:rFonts w:hint="eastAsia" w:asciiTheme="minorEastAsia" w:hAnsiTheme="minorEastAsia" w:eastAsiaTheme="minorEastAsia"/>
        </w:rPr>
        <w:t>应</w:t>
      </w:r>
      <w:r>
        <w:rPr>
          <w:rFonts w:asciiTheme="minorEastAsia" w:hAnsiTheme="minorEastAsia" w:eastAsiaTheme="minorEastAsia"/>
        </w:rPr>
        <w:t>少于2 min</w:t>
      </w:r>
      <w:r>
        <w:rPr>
          <w:rFonts w:hint="eastAsia" w:asciiTheme="minorEastAsia" w:hAnsiTheme="minorEastAsia" w:eastAsiaTheme="minorEastAsia"/>
        </w:rPr>
        <w:t>。</w:t>
      </w:r>
    </w:p>
    <w:p w14:paraId="02645FCB">
      <w:pPr>
        <w:pStyle w:val="6"/>
        <w:spacing w:line="360" w:lineRule="exact"/>
        <w:rPr>
          <w:rFonts w:ascii="Times New Roman" w:hAnsi="Times New Roman" w:eastAsia="方正书宋简体"/>
        </w:rPr>
      </w:pPr>
      <w:r>
        <w:rPr>
          <w:rFonts w:hint="eastAsia" w:ascii="Times New Roman" w:hAnsi="Times New Roman" w:eastAsia="方正书宋简体"/>
        </w:rPr>
        <w:t xml:space="preserve">4.4.3.4.3  </w:t>
      </w:r>
      <w:r>
        <w:rPr>
          <w:rFonts w:hint="eastAsia" w:asciiTheme="minorEastAsia" w:hAnsiTheme="minorEastAsia" w:eastAsiaTheme="minorEastAsia"/>
        </w:rPr>
        <w:t>三轮汽车采用制动检验台（如滚筒反力式制动检验台）检测制动性能，则检测出的后轴制动力与后轴轴荷的百分比不应小于60%且其制动不平衡率不应大于24%。检验时制动踏板力或制动气压应符合</w:t>
      </w:r>
      <w:r>
        <w:rPr>
          <w:rFonts w:asciiTheme="minorEastAsia" w:hAnsiTheme="minorEastAsia" w:eastAsiaTheme="minorEastAsia"/>
        </w:rPr>
        <w:t>4.4.3.4.1</w:t>
      </w:r>
      <w:r>
        <w:rPr>
          <w:rFonts w:hint="eastAsia" w:asciiTheme="minorEastAsia" w:hAnsiTheme="minorEastAsia" w:eastAsiaTheme="minorEastAsia"/>
        </w:rPr>
        <w:t>的规定。</w:t>
      </w:r>
    </w:p>
    <w:p w14:paraId="416A8BDE">
      <w:pPr>
        <w:pStyle w:val="6"/>
        <w:spacing w:line="360" w:lineRule="exact"/>
        <w:rPr>
          <w:rFonts w:ascii="Times New Roman" w:hAnsi="Times New Roman"/>
        </w:rPr>
      </w:pPr>
      <w:r>
        <w:rPr>
          <w:rFonts w:hint="eastAsia" w:ascii="Times New Roman" w:hAnsi="Times New Roman" w:eastAsia="方正书宋简体"/>
        </w:rPr>
        <w:t xml:space="preserve">4.4.3.4.5  </w:t>
      </w:r>
      <w:r>
        <w:rPr>
          <w:rFonts w:hint="eastAsia" w:asciiTheme="minorEastAsia" w:hAnsiTheme="minorEastAsia" w:eastAsiaTheme="minorEastAsia"/>
        </w:rPr>
        <w:t>采用制动检验台检验三轮汽车的驻车制动力时，三轮汽车空载，仅乘坐1名驾驶员，使用驻车制动装置，驻车制动力的总和应大于等于在测试状态下三轮汽车总重的</w:t>
      </w:r>
      <w:r>
        <w:rPr>
          <w:rFonts w:asciiTheme="minorEastAsia" w:hAnsiTheme="minorEastAsia" w:eastAsiaTheme="minorEastAsia"/>
        </w:rPr>
        <w:t>20%</w:t>
      </w:r>
      <w:r>
        <w:rPr>
          <w:rFonts w:hint="eastAsia" w:asciiTheme="minorEastAsia" w:hAnsiTheme="minorEastAsia" w:eastAsiaTheme="minorEastAsia"/>
        </w:rPr>
        <w:t>。</w:t>
      </w:r>
    </w:p>
    <w:p w14:paraId="36C71BBB">
      <w:pPr>
        <w:pStyle w:val="6"/>
        <w:spacing w:before="156" w:beforeLines="50" w:after="156" w:afterLines="50" w:line="360" w:lineRule="exact"/>
        <w:rPr>
          <w:rFonts w:ascii="黑体" w:hAnsi="黑体" w:eastAsia="黑体"/>
        </w:rPr>
      </w:pPr>
      <w:r>
        <w:rPr>
          <w:rFonts w:ascii="黑体" w:hAnsi="黑体" w:eastAsia="黑体"/>
        </w:rPr>
        <w:t>4.4.4  行驶系</w:t>
      </w:r>
    </w:p>
    <w:p w14:paraId="369E67B4">
      <w:pPr>
        <w:pStyle w:val="6"/>
        <w:spacing w:line="360" w:lineRule="exact"/>
        <w:rPr>
          <w:rFonts w:ascii="Times New Roman" w:hAnsi="Times New Roman"/>
          <w:szCs w:val="21"/>
        </w:rPr>
      </w:pPr>
      <w:r>
        <w:rPr>
          <w:rFonts w:ascii="Times New Roman" w:hAnsi="Times New Roman"/>
          <w:szCs w:val="21"/>
        </w:rPr>
        <w:t>4.4.4.1  同一轴上的轮胎规格和花纹应相同。</w:t>
      </w:r>
    </w:p>
    <w:p w14:paraId="78357762">
      <w:pPr>
        <w:pStyle w:val="6"/>
        <w:spacing w:line="360" w:lineRule="exact"/>
        <w:rPr>
          <w:rFonts w:ascii="Times New Roman" w:hAnsi="Times New Roman"/>
          <w:szCs w:val="21"/>
        </w:rPr>
      </w:pPr>
      <w:r>
        <w:rPr>
          <w:rFonts w:ascii="Times New Roman" w:hAnsi="Times New Roman"/>
          <w:szCs w:val="21"/>
        </w:rPr>
        <w:t>4.4.4.2  轮胎规格应符合整车制造厂的出厂规定。</w:t>
      </w:r>
    </w:p>
    <w:p w14:paraId="5F3F1C55">
      <w:pPr>
        <w:pStyle w:val="6"/>
        <w:spacing w:line="360" w:lineRule="exact"/>
        <w:rPr>
          <w:rFonts w:ascii="Times New Roman" w:hAnsi="Times New Roman"/>
          <w:szCs w:val="21"/>
        </w:rPr>
      </w:pPr>
      <w:r>
        <w:rPr>
          <w:rFonts w:ascii="Times New Roman" w:hAnsi="Times New Roman"/>
          <w:szCs w:val="21"/>
        </w:rPr>
        <w:t>4.4.4.3  轮胎气压应符合该轮胎承受负荷时规定的压力。</w:t>
      </w:r>
    </w:p>
    <w:p w14:paraId="796DB7F5">
      <w:pPr>
        <w:pStyle w:val="6"/>
        <w:spacing w:line="360" w:lineRule="exact"/>
        <w:rPr>
          <w:rFonts w:ascii="Times New Roman" w:hAnsi="Times New Roman"/>
          <w:szCs w:val="21"/>
        </w:rPr>
      </w:pPr>
      <w:r>
        <w:rPr>
          <w:rFonts w:ascii="Times New Roman" w:hAnsi="Times New Roman"/>
          <w:szCs w:val="21"/>
        </w:rPr>
        <w:t xml:space="preserve">4.4.4.4  </w:t>
      </w:r>
      <w:r>
        <w:rPr>
          <w:rFonts w:ascii="Times New Roman" w:hAnsi="Times New Roman"/>
          <w:szCs w:val="21"/>
          <w:lang w:bidi="ar"/>
        </w:rPr>
        <w:t xml:space="preserve">轮胎胎面不应由于局部磨损而暴露出轮胎帘布层。轮胎不应有影响使用的缺损、异常磨损和变形。 </w:t>
      </w:r>
    </w:p>
    <w:p w14:paraId="19F983CA">
      <w:pPr>
        <w:widowControl/>
        <w:spacing w:line="360" w:lineRule="exact"/>
        <w:jc w:val="left"/>
        <w:rPr>
          <w:szCs w:val="21"/>
        </w:rPr>
      </w:pPr>
      <w:r>
        <w:rPr>
          <w:szCs w:val="21"/>
        </w:rPr>
        <w:t>4.4.4.5  双式车轮的轮胎的安装应便于轮胎充气。</w:t>
      </w:r>
    </w:p>
    <w:p w14:paraId="766730B9">
      <w:pPr>
        <w:widowControl/>
        <w:spacing w:line="360" w:lineRule="exact"/>
        <w:jc w:val="left"/>
        <w:rPr>
          <w:szCs w:val="21"/>
        </w:rPr>
      </w:pPr>
      <w:r>
        <w:rPr>
          <w:szCs w:val="21"/>
        </w:rPr>
        <w:t>4.4.4.6  轮胎螺母和半轴螺母应完整齐全。</w:t>
      </w:r>
      <w:r>
        <w:rPr>
          <w:szCs w:val="21"/>
          <w:lang w:bidi="ar"/>
        </w:rPr>
        <w:t>所有螺栓、螺母不应安装有碍于检查其技术状况的装饰罩或装饰帽（设计和制造上为防止生锈等情形发生而配备的、易于拆卸及安装的装饰罩和装饰帽除外），且车轮螺母、轮毂罩盖和保护装置不应有任何蝶型凸出物</w:t>
      </w:r>
      <w:r>
        <w:rPr>
          <w:szCs w:val="21"/>
        </w:rPr>
        <w:t>。</w:t>
      </w:r>
    </w:p>
    <w:p w14:paraId="4C4044CB">
      <w:pPr>
        <w:pStyle w:val="6"/>
        <w:spacing w:line="360" w:lineRule="exact"/>
        <w:rPr>
          <w:rFonts w:ascii="Times New Roman" w:hAnsi="Times New Roman"/>
          <w:szCs w:val="21"/>
        </w:rPr>
      </w:pPr>
      <w:r>
        <w:rPr>
          <w:rFonts w:ascii="Times New Roman" w:hAnsi="Times New Roman"/>
          <w:szCs w:val="21"/>
        </w:rPr>
        <w:t>4.4.4.7  前、后车轮总成的横向摆动和径向跳动量均不应</w:t>
      </w:r>
      <w:r>
        <w:rPr>
          <w:rFonts w:hint="eastAsia" w:ascii="Times New Roman" w:hAnsi="Times New Roman"/>
          <w:szCs w:val="21"/>
        </w:rPr>
        <w:t>大于</w:t>
      </w:r>
      <w:r>
        <w:rPr>
          <w:rFonts w:ascii="Times New Roman" w:hAnsi="Times New Roman"/>
          <w:szCs w:val="21"/>
        </w:rPr>
        <w:t>5 mm。</w:t>
      </w:r>
    </w:p>
    <w:p w14:paraId="1C93098C">
      <w:pPr>
        <w:pStyle w:val="6"/>
        <w:spacing w:line="360" w:lineRule="exact"/>
        <w:rPr>
          <w:rFonts w:ascii="Times New Roman" w:hAnsi="Times New Roman"/>
          <w:szCs w:val="21"/>
        </w:rPr>
      </w:pPr>
      <w:r>
        <w:rPr>
          <w:rFonts w:ascii="Times New Roman" w:hAnsi="Times New Roman"/>
          <w:szCs w:val="21"/>
          <w:lang w:bidi="ar"/>
        </w:rPr>
        <w:t>4.4.4.8  钢板弹簧不应有裂纹和断片现象，同一轴上的弹簧形式和规格应相同。中心螺栓和Ｕ形螺栓应紧固、无裂纹且不应拼焊。钢板弹簧卡箍不应拼焊或残损。</w:t>
      </w:r>
    </w:p>
    <w:p w14:paraId="4D8C709C">
      <w:pPr>
        <w:pStyle w:val="6"/>
        <w:spacing w:line="360" w:lineRule="exact"/>
        <w:rPr>
          <w:rFonts w:ascii="Times New Roman" w:hAnsi="Times New Roman"/>
          <w:szCs w:val="21"/>
        </w:rPr>
      </w:pPr>
      <w:r>
        <w:rPr>
          <w:rFonts w:ascii="Times New Roman" w:hAnsi="Times New Roman"/>
          <w:szCs w:val="21"/>
          <w:lang w:bidi="ar"/>
        </w:rPr>
        <w:t>4.4.4.9  车架和后桥不应有裂纹及变形、锈蚀，螺栓和铆钉不应缺少或松动、正常行驶时应无异响。</w:t>
      </w:r>
    </w:p>
    <w:p w14:paraId="0F1075BB">
      <w:pPr>
        <w:pStyle w:val="6"/>
        <w:spacing w:before="156" w:beforeLines="50" w:after="156" w:afterLines="50" w:line="360" w:lineRule="exact"/>
        <w:rPr>
          <w:rFonts w:ascii="黑体" w:hAnsi="黑体" w:eastAsia="黑体"/>
        </w:rPr>
      </w:pPr>
      <w:r>
        <w:rPr>
          <w:rFonts w:ascii="黑体" w:hAnsi="黑体" w:eastAsia="黑体"/>
        </w:rPr>
        <w:t>4.4.5  传动系</w:t>
      </w:r>
    </w:p>
    <w:p w14:paraId="5B181DDF">
      <w:pPr>
        <w:pStyle w:val="6"/>
        <w:spacing w:line="360" w:lineRule="exact"/>
        <w:rPr>
          <w:rFonts w:ascii="Times New Roman" w:hAnsi="Times New Roman"/>
        </w:rPr>
      </w:pPr>
      <w:r>
        <w:rPr>
          <w:rFonts w:ascii="Times New Roman" w:hAnsi="Times New Roman" w:eastAsia="方正书宋简体"/>
        </w:rPr>
        <w:t xml:space="preserve">4.4.5.1  </w:t>
      </w:r>
      <w:r>
        <w:rPr>
          <w:rFonts w:ascii="Times New Roman" w:hAnsi="Times New Roman"/>
        </w:rPr>
        <w:t>离合器踏板</w:t>
      </w:r>
      <w:r>
        <w:rPr>
          <w:rFonts w:hint="eastAsia" w:ascii="Times New Roman" w:hAnsi="Times New Roman"/>
        </w:rPr>
        <w:t>应</w:t>
      </w:r>
      <w:r>
        <w:rPr>
          <w:rFonts w:ascii="Times New Roman" w:hAnsi="Times New Roman"/>
        </w:rPr>
        <w:t>置于驾驶员左脚方便操纵的位置，离合器应接合平稳，分离彻底</w:t>
      </w:r>
      <w:r>
        <w:rPr>
          <w:rFonts w:hint="eastAsia" w:ascii="Times New Roman" w:hAnsi="Times New Roman"/>
        </w:rPr>
        <w:t>，</w:t>
      </w:r>
      <w:r>
        <w:rPr>
          <w:rFonts w:ascii="Times New Roman" w:hAnsi="Times New Roman"/>
        </w:rPr>
        <w:t>不应有异响、打滑或发抖现象。离合器彻底分离时踏板操纵力不应大于300 N。</w:t>
      </w:r>
    </w:p>
    <w:p w14:paraId="4C292421">
      <w:pPr>
        <w:pStyle w:val="6"/>
        <w:spacing w:line="360" w:lineRule="exact"/>
        <w:rPr>
          <w:rFonts w:ascii="Times New Roman" w:hAnsi="Times New Roman"/>
          <w:szCs w:val="21"/>
        </w:rPr>
      </w:pPr>
      <w:r>
        <w:rPr>
          <w:rFonts w:ascii="Times New Roman" w:hAnsi="Times New Roman"/>
        </w:rPr>
        <w:t>4.4.5.2  传动系不</w:t>
      </w:r>
      <w:r>
        <w:rPr>
          <w:rFonts w:hint="eastAsia" w:ascii="Times New Roman" w:hAnsi="Times New Roman"/>
        </w:rPr>
        <w:t>应</w:t>
      </w:r>
      <w:r>
        <w:rPr>
          <w:rFonts w:ascii="Times New Roman" w:hAnsi="Times New Roman"/>
        </w:rPr>
        <w:t>采用带有超速挡的变速器。变速器换挡时齿轮应啮合灵便，互锁、自锁装置应有效，不允许有乱挡和自行跳挡现象</w:t>
      </w:r>
      <w:r>
        <w:rPr>
          <w:rFonts w:ascii="Times New Roman" w:hAnsi="Times New Roman"/>
          <w:szCs w:val="21"/>
        </w:rPr>
        <w:t>；运行中应无异响；</w:t>
      </w:r>
      <w:r>
        <w:rPr>
          <w:rFonts w:ascii="Times New Roman" w:hAnsi="Times New Roman"/>
        </w:rPr>
        <w:t>换挡杆</w:t>
      </w:r>
      <w:r>
        <w:rPr>
          <w:rFonts w:ascii="Times New Roman" w:hAnsi="Times New Roman"/>
          <w:szCs w:val="21"/>
        </w:rPr>
        <w:t>及其传动杆件不应与其它部件干涉。</w:t>
      </w:r>
    </w:p>
    <w:p w14:paraId="6AB199B3">
      <w:pPr>
        <w:pStyle w:val="6"/>
        <w:spacing w:line="360" w:lineRule="exact"/>
        <w:rPr>
          <w:rFonts w:ascii="Times New Roman" w:hAnsi="Times New Roman"/>
        </w:rPr>
      </w:pPr>
      <w:r>
        <w:rPr>
          <w:rFonts w:ascii="Times New Roman" w:hAnsi="Times New Roman"/>
        </w:rPr>
        <w:t>4.4.5.3  在换挡杆上应有驾驶员在驾驶座位上容易识别变速器挡位位置的标志。若换挡杆上难以布置，则应布置在换挡杆附近的易见部位。</w:t>
      </w:r>
    </w:p>
    <w:p w14:paraId="12782A82">
      <w:pPr>
        <w:pStyle w:val="6"/>
        <w:spacing w:line="360" w:lineRule="exact"/>
        <w:rPr>
          <w:rFonts w:ascii="Times New Roman" w:hAnsi="Times New Roman"/>
        </w:rPr>
      </w:pPr>
      <w:r>
        <w:rPr>
          <w:rFonts w:ascii="Times New Roman" w:hAnsi="Times New Roman"/>
        </w:rPr>
        <w:t>4.4.5.4  轴传动三轮汽车其</w:t>
      </w:r>
      <w:r>
        <w:rPr>
          <w:rFonts w:ascii="Times New Roman" w:hAnsi="Times New Roman"/>
          <w:lang w:bidi="ar"/>
        </w:rPr>
        <w:t>传动轴在运转时不应发生振抖和异响，中间轴承和万向节不应有裂纹和／或松旷现象。</w:t>
      </w:r>
    </w:p>
    <w:p w14:paraId="4D3ECB49">
      <w:pPr>
        <w:pStyle w:val="6"/>
        <w:spacing w:line="360" w:lineRule="exact"/>
        <w:rPr>
          <w:rFonts w:ascii="Times New Roman" w:hAnsi="Times New Roman"/>
        </w:rPr>
      </w:pPr>
      <w:r>
        <w:rPr>
          <w:rFonts w:ascii="Times New Roman" w:hAnsi="Times New Roman"/>
        </w:rPr>
        <w:t>4.4.5.5  三轮汽车的限速装置应满足</w:t>
      </w:r>
      <w:r>
        <w:rPr>
          <w:rFonts w:hint="eastAsia" w:ascii="Times New Roman" w:hAnsi="Times New Roman"/>
        </w:rPr>
        <w:t>以下规定：</w:t>
      </w:r>
    </w:p>
    <w:p w14:paraId="43D4B5A8">
      <w:pPr>
        <w:pStyle w:val="30"/>
        <w:adjustRightInd w:val="0"/>
        <w:snapToGrid w:val="0"/>
        <w:spacing w:line="360" w:lineRule="exact"/>
        <w:ind w:firstLine="420"/>
        <w:rPr>
          <w:rFonts w:hAnsi="宋体"/>
          <w:bCs/>
        </w:rPr>
      </w:pPr>
      <w:r>
        <w:rPr>
          <w:rFonts w:hint="eastAsia" w:ascii="Times New Roman"/>
        </w:rPr>
        <w:t>a） 通过</w:t>
      </w:r>
      <w:r>
        <w:rPr>
          <w:rFonts w:hint="eastAsia" w:hAnsi="宋体"/>
          <w:bCs/>
        </w:rPr>
        <w:t>最高车速限制装置实现</w:t>
      </w:r>
      <w:r>
        <w:rPr>
          <w:rFonts w:hint="eastAsia" w:ascii="Times New Roman"/>
        </w:rPr>
        <w:t>实际行驶速度不超过规定最高车速限值的，制造厂应在组装过程中安装</w:t>
      </w:r>
      <w:r>
        <w:rPr>
          <w:rFonts w:hint="eastAsia" w:hAnsi="宋体"/>
          <w:bCs/>
        </w:rPr>
        <w:t>最高车速限制装置；</w:t>
      </w:r>
    </w:p>
    <w:p w14:paraId="53EEFC0E">
      <w:pPr>
        <w:pStyle w:val="30"/>
        <w:adjustRightInd w:val="0"/>
        <w:snapToGrid w:val="0"/>
        <w:spacing w:line="360" w:lineRule="exact"/>
        <w:ind w:firstLine="420"/>
        <w:rPr>
          <w:rFonts w:ascii="Times New Roman"/>
        </w:rPr>
      </w:pPr>
      <w:r>
        <w:rPr>
          <w:rFonts w:hint="eastAsia" w:ascii="Times New Roman"/>
        </w:rPr>
        <w:t>b） 不可调整的最高车速限制装置、相应连接件和固定件等应加以保护和/或锁死，以防止人为调整或使用特殊工具改装；</w:t>
      </w:r>
    </w:p>
    <w:p w14:paraId="09153EAD">
      <w:pPr>
        <w:pStyle w:val="30"/>
        <w:adjustRightInd w:val="0"/>
        <w:snapToGrid w:val="0"/>
        <w:spacing w:line="360" w:lineRule="exact"/>
        <w:ind w:firstLine="420"/>
        <w:rPr>
          <w:rFonts w:ascii="Times New Roman"/>
        </w:rPr>
      </w:pPr>
      <w:r>
        <w:rPr>
          <w:rFonts w:hint="eastAsia" w:ascii="Times New Roman"/>
        </w:rPr>
        <w:t>c） 允许调整的最高车速限制装置，在最大调整范围内应保证车辆实际行驶速度任何情况下均不超过规定的最高车速限值；</w:t>
      </w:r>
    </w:p>
    <w:p w14:paraId="5F8CD802">
      <w:pPr>
        <w:pStyle w:val="30"/>
        <w:adjustRightInd w:val="0"/>
        <w:snapToGrid w:val="0"/>
        <w:spacing w:line="360" w:lineRule="exact"/>
        <w:ind w:firstLine="420"/>
        <w:rPr>
          <w:rFonts w:ascii="Times New Roman"/>
        </w:rPr>
      </w:pPr>
      <w:r>
        <w:rPr>
          <w:rFonts w:hint="eastAsia" w:ascii="Times New Roman"/>
        </w:rPr>
        <w:t>d） 最高车速限制装置不应影响正常的操作、工作性能和安全性。尤其不应影响正常的加速、减速控制和行驶速度稳定性；</w:t>
      </w:r>
    </w:p>
    <w:p w14:paraId="455D615E">
      <w:pPr>
        <w:pStyle w:val="30"/>
        <w:adjustRightInd w:val="0"/>
        <w:snapToGrid w:val="0"/>
        <w:spacing w:line="360" w:lineRule="exact"/>
        <w:ind w:firstLine="420"/>
        <w:rPr>
          <w:rFonts w:ascii="Times New Roman"/>
        </w:rPr>
      </w:pPr>
      <w:r>
        <w:rPr>
          <w:rFonts w:hint="eastAsia" w:ascii="Times New Roman"/>
        </w:rPr>
        <w:t>e） 最高车速限制装置失效时，不应引起发动机转速超过规定要求；</w:t>
      </w:r>
    </w:p>
    <w:p w14:paraId="546B59BC">
      <w:pPr>
        <w:pStyle w:val="30"/>
        <w:adjustRightInd w:val="0"/>
        <w:snapToGrid w:val="0"/>
        <w:spacing w:line="360" w:lineRule="exact"/>
        <w:ind w:firstLine="420"/>
        <w:rPr>
          <w:rFonts w:ascii="Times New Roman"/>
        </w:rPr>
      </w:pPr>
      <w:r>
        <w:rPr>
          <w:rFonts w:hint="eastAsia" w:ascii="Times New Roman"/>
        </w:rPr>
        <w:t>f） 正常操作状态下，最高车速限制装置所有部件应能承受最大操纵力而不失效。</w:t>
      </w:r>
    </w:p>
    <w:p w14:paraId="26B71EEE">
      <w:pPr>
        <w:pStyle w:val="30"/>
        <w:spacing w:line="360" w:lineRule="exact"/>
        <w:ind w:firstLine="420"/>
      </w:pPr>
      <w:r>
        <w:rPr>
          <w:rFonts w:hint="eastAsia" w:ascii="Times New Roman" w:hAnsi="宋体"/>
        </w:rPr>
        <w:t>g</w:t>
      </w:r>
      <w:r>
        <w:rPr>
          <w:rFonts w:hint="eastAsia" w:ascii="Times New Roman"/>
        </w:rPr>
        <w:t xml:space="preserve">） </w:t>
      </w:r>
      <w:r>
        <w:rPr>
          <w:rFonts w:ascii="Times New Roman" w:hAnsi="宋体"/>
        </w:rPr>
        <w:t>产品使用说明书中应给出最高车速限制装置</w:t>
      </w:r>
      <w:r>
        <w:rPr>
          <w:rFonts w:hint="eastAsia" w:ascii="Times New Roman" w:hAnsi="宋体"/>
        </w:rPr>
        <w:t>的</w:t>
      </w:r>
      <w:r>
        <w:rPr>
          <w:rFonts w:ascii="Times New Roman" w:hAnsi="宋体"/>
        </w:rPr>
        <w:t>安装位置、作用和保护要求等，尤其是禁止</w:t>
      </w:r>
      <w:r>
        <w:rPr>
          <w:rFonts w:hint="eastAsia"/>
        </w:rPr>
        <w:t>性说明。对于</w:t>
      </w:r>
      <w:r>
        <w:t>允许</w:t>
      </w:r>
      <w:r>
        <w:rPr>
          <w:rFonts w:hint="eastAsia"/>
        </w:rPr>
        <w:t>调整</w:t>
      </w:r>
      <w:r>
        <w:t>的最高车速限制装置</w:t>
      </w:r>
      <w:r>
        <w:rPr>
          <w:rFonts w:hint="eastAsia"/>
        </w:rPr>
        <w:t>，产品使用说明书中还应给出调整方法的详尽说明。</w:t>
      </w:r>
    </w:p>
    <w:p w14:paraId="192DA5F4">
      <w:pPr>
        <w:pStyle w:val="6"/>
        <w:spacing w:before="156" w:beforeLines="50" w:after="156" w:afterLines="50" w:line="360" w:lineRule="exact"/>
        <w:rPr>
          <w:rFonts w:ascii="黑体" w:hAnsi="黑体" w:eastAsia="黑体"/>
        </w:rPr>
      </w:pPr>
      <w:r>
        <w:rPr>
          <w:rFonts w:ascii="黑体" w:hAnsi="黑体" w:eastAsia="黑体"/>
        </w:rPr>
        <w:t>4.4.6  自卸装置</w:t>
      </w:r>
    </w:p>
    <w:p w14:paraId="230122A2">
      <w:pPr>
        <w:pStyle w:val="6"/>
        <w:spacing w:line="360" w:lineRule="exact"/>
        <w:rPr>
          <w:rFonts w:asciiTheme="minorEastAsia" w:hAnsiTheme="minorEastAsia" w:eastAsiaTheme="minorEastAsia"/>
        </w:rPr>
      </w:pPr>
      <w:r>
        <w:rPr>
          <w:rFonts w:ascii="Times New Roman" w:hAnsi="Times New Roman" w:eastAsia="方正书宋简体"/>
        </w:rPr>
        <w:t xml:space="preserve">4.4.6.1  </w:t>
      </w:r>
      <w:r>
        <w:rPr>
          <w:rFonts w:asciiTheme="minorEastAsia" w:hAnsiTheme="minorEastAsia" w:eastAsiaTheme="minorEastAsia"/>
        </w:rPr>
        <w:t>自卸三轮汽车应设置车厢举升的声响报警装置和举升后维修状态机械式锁定装置，侧翻式自卸车还应设置运输状态锁定装置。锁定装置应能可靠锁定。</w:t>
      </w:r>
    </w:p>
    <w:p w14:paraId="40B5B38F">
      <w:pPr>
        <w:pStyle w:val="6"/>
        <w:spacing w:line="360" w:lineRule="exact"/>
        <w:rPr>
          <w:rFonts w:ascii="Times New Roman" w:hAnsi="Times New Roman" w:eastAsia="方正书宋简体"/>
        </w:rPr>
      </w:pPr>
      <w:r>
        <w:rPr>
          <w:rFonts w:ascii="Times New Roman" w:hAnsi="Times New Roman" w:eastAsia="方正书宋简体"/>
        </w:rPr>
        <w:t xml:space="preserve">4.4.6.2  </w:t>
      </w:r>
      <w:r>
        <w:rPr>
          <w:rFonts w:asciiTheme="minorEastAsia" w:hAnsiTheme="minorEastAsia" w:eastAsiaTheme="minorEastAsia"/>
        </w:rPr>
        <w:t>使用说明书中应给出自卸操纵机构和锁定装置的使用方法。</w:t>
      </w:r>
    </w:p>
    <w:p w14:paraId="5D5D87C8">
      <w:pPr>
        <w:pStyle w:val="6"/>
        <w:spacing w:before="156" w:beforeLines="50" w:after="156" w:afterLines="50" w:line="360" w:lineRule="exact"/>
        <w:rPr>
          <w:rFonts w:ascii="黑体" w:hAnsi="黑体" w:eastAsia="黑体"/>
        </w:rPr>
      </w:pPr>
      <w:r>
        <w:rPr>
          <w:rFonts w:ascii="黑体" w:hAnsi="黑体" w:eastAsia="黑体"/>
        </w:rPr>
        <w:t>4.5  照明、信号装置和电气设备</w:t>
      </w:r>
    </w:p>
    <w:p w14:paraId="60D5CE77">
      <w:pPr>
        <w:pStyle w:val="6"/>
        <w:spacing w:line="360" w:lineRule="exact"/>
        <w:rPr>
          <w:rFonts w:ascii="Times New Roman" w:hAnsi="Times New Roman"/>
        </w:rPr>
      </w:pPr>
      <w:r>
        <w:rPr>
          <w:rFonts w:ascii="Times New Roman" w:hAnsi="Times New Roman"/>
        </w:rPr>
        <w:t>4.5.1  灯具应安装牢靠、完好有效，不应因振动而松脱、损坏、失去作用或改变光照方向；所有灯光的开关应安装牢固、开关自如，不应因</w:t>
      </w:r>
      <w:r>
        <w:rPr>
          <w:rFonts w:hint="eastAsia" w:ascii="Times New Roman" w:hAnsi="Times New Roman"/>
        </w:rPr>
        <w:t>三轮汽车</w:t>
      </w:r>
      <w:r>
        <w:rPr>
          <w:rFonts w:ascii="Times New Roman" w:hAnsi="Times New Roman"/>
        </w:rPr>
        <w:t>振动而自行开关。开关的位置应便于驾驶人操纵。</w:t>
      </w:r>
    </w:p>
    <w:p w14:paraId="06D6AEFD">
      <w:pPr>
        <w:pStyle w:val="6"/>
        <w:spacing w:line="360" w:lineRule="exact"/>
        <w:rPr>
          <w:rFonts w:ascii="Times New Roman" w:hAnsi="Times New Roman"/>
        </w:rPr>
      </w:pPr>
      <w:r>
        <w:rPr>
          <w:rFonts w:ascii="Times New Roman" w:hAnsi="Times New Roman"/>
        </w:rPr>
        <w:t>4.5.2  不应安装遮挡外部照明和信号装置透光面的装置。</w:t>
      </w:r>
    </w:p>
    <w:p w14:paraId="394FEDEC">
      <w:pPr>
        <w:pStyle w:val="6"/>
        <w:spacing w:line="360" w:lineRule="exact"/>
        <w:rPr>
          <w:rFonts w:ascii="Times New Roman" w:hAnsi="Times New Roman"/>
        </w:rPr>
      </w:pPr>
      <w:r>
        <w:rPr>
          <w:rFonts w:ascii="Times New Roman" w:hAnsi="Times New Roman"/>
        </w:rPr>
        <w:t>4.5.3  外部照明和信号装置的数量、位置、光色应符合GB/T 19119的规定。对称设置、功能相同的灯具的光色和亮度不应有明显差异。照明和信号装置的任一条线路出现故障，不允许干扰其它线路的正常工作。</w:t>
      </w:r>
    </w:p>
    <w:p w14:paraId="37F28938">
      <w:pPr>
        <w:pStyle w:val="6"/>
        <w:spacing w:line="360" w:lineRule="exact"/>
        <w:rPr>
          <w:rFonts w:ascii="Times New Roman" w:hAnsi="Times New Roman"/>
        </w:rPr>
      </w:pPr>
      <w:r>
        <w:rPr>
          <w:rFonts w:ascii="Times New Roman" w:hAnsi="Times New Roman"/>
        </w:rPr>
        <w:t>4.5.4  驾驶区的仪表板应采用不反光的面板或护板，车内照明装置及其在风窗玻璃、视镜、仪表盘等处的反射光线不应使驾驶人眩目。仪表板上应设置仪表灯。仪表灯点亮时，应能照清仪表板上所有的仪表且不应眩目。仪表板上应设置蓝色远光指示信号和与行驶方向相适应的转向指示信号。</w:t>
      </w:r>
    </w:p>
    <w:p w14:paraId="6B1EC14F">
      <w:pPr>
        <w:pStyle w:val="6"/>
        <w:spacing w:line="360" w:lineRule="exact"/>
        <w:rPr>
          <w:rFonts w:ascii="Times New Roman" w:hAnsi="Times New Roman"/>
        </w:rPr>
      </w:pPr>
      <w:r>
        <w:rPr>
          <w:rFonts w:ascii="Times New Roman" w:hAnsi="Times New Roman"/>
        </w:rPr>
        <w:t>4.5.5  三轮汽车前照灯应有远、近光变换装置，并且当远光变为近光时，所有远光应能同时熄灭。同一辆三轮汽车上的前照灯不允许左、右的远、近光灯交叉开亮。所有前照灯的近光都不应眩目。前照灯的配光性能应符合GB/T 19124的规定。</w:t>
      </w:r>
    </w:p>
    <w:p w14:paraId="09A10FE0">
      <w:pPr>
        <w:pStyle w:val="6"/>
        <w:spacing w:line="360" w:lineRule="exact"/>
        <w:rPr>
          <w:rFonts w:ascii="Times New Roman" w:hAnsi="Times New Roman"/>
        </w:rPr>
      </w:pPr>
      <w:r>
        <w:rPr>
          <w:rFonts w:ascii="Times New Roman" w:hAnsi="Times New Roman"/>
        </w:rPr>
        <w:t>4.5.6  三轮汽车前照灯灯光束照射位置在正常使用条件下应保持稳定</w:t>
      </w:r>
      <w:r>
        <w:rPr>
          <w:rFonts w:hint="eastAsia" w:ascii="Times New Roman" w:hAnsi="Times New Roman"/>
        </w:rPr>
        <w:t>。</w:t>
      </w:r>
      <w:r>
        <w:rPr>
          <w:rFonts w:ascii="Times New Roman" w:hAnsi="Times New Roman"/>
        </w:rPr>
        <w:t>在空载车状态下，前照灯近光光束照射在距离10 m的屏幕上，近光光束明暗截止线转角或中点的垂直方向位置，对近光光束透光面中心（基准中心，下同）高度小于或等于1000 mm的三轮汽车，应不高于近光光束透光面中心所在水平面以下50 mm的直线且不低于近光光束透光面中心所在水平面以下300 mm的直线；对近光光束透光面中心高度大于1000 mm的三轮汽车，应不高于近光束透光面中心所在水平面以下100 mm的直线且不低于近光光束透光面中心所在水平面以下350 mm的直线。二灯制三轮汽车前照灯近光光束明暗截止线转角或中点的水平方向位置，与近光光束透光面中心所在垂直面相比，向左偏移</w:t>
      </w:r>
      <w:r>
        <w:rPr>
          <w:rFonts w:hint="eastAsia" w:ascii="Times New Roman" w:hAnsi="Times New Roman"/>
        </w:rPr>
        <w:t>不</w:t>
      </w:r>
      <w:r>
        <w:rPr>
          <w:rFonts w:ascii="Times New Roman" w:hAnsi="Times New Roman"/>
        </w:rPr>
        <w:t>应</w:t>
      </w:r>
      <w:r>
        <w:rPr>
          <w:rFonts w:hint="eastAsia" w:ascii="Times New Roman" w:hAnsi="Times New Roman"/>
        </w:rPr>
        <w:t>大于</w:t>
      </w:r>
      <w:r>
        <w:rPr>
          <w:rFonts w:ascii="Times New Roman" w:hAnsi="Times New Roman"/>
        </w:rPr>
        <w:t>170 mm，向右偏移</w:t>
      </w:r>
      <w:r>
        <w:rPr>
          <w:rFonts w:hint="eastAsia" w:ascii="Times New Roman" w:hAnsi="Times New Roman"/>
        </w:rPr>
        <w:t>不</w:t>
      </w:r>
      <w:r>
        <w:rPr>
          <w:rFonts w:ascii="Times New Roman" w:hAnsi="Times New Roman"/>
        </w:rPr>
        <w:t>应</w:t>
      </w:r>
      <w:r>
        <w:rPr>
          <w:rFonts w:hint="eastAsia" w:ascii="Times New Roman" w:hAnsi="Times New Roman"/>
        </w:rPr>
        <w:t>大于</w:t>
      </w:r>
      <w:r>
        <w:rPr>
          <w:rFonts w:ascii="Times New Roman" w:hAnsi="Times New Roman"/>
        </w:rPr>
        <w:t xml:space="preserve">350 mm。 </w:t>
      </w:r>
    </w:p>
    <w:p w14:paraId="2971FC23">
      <w:pPr>
        <w:pStyle w:val="6"/>
        <w:spacing w:line="360" w:lineRule="exact"/>
        <w:rPr>
          <w:rFonts w:ascii="Times New Roman" w:hAnsi="Times New Roman"/>
        </w:rPr>
      </w:pPr>
      <w:r>
        <w:rPr>
          <w:rFonts w:ascii="Times New Roman" w:hAnsi="Times New Roman"/>
        </w:rPr>
        <w:t>4.5.7  一灯制三轮汽车每只前照灯的远光光束发光强度应大于或等于8000 cd。二灯制三轮汽车每只前照灯的远光光束发光强度</w:t>
      </w:r>
      <w:r>
        <w:rPr>
          <w:rFonts w:hint="eastAsia" w:ascii="Times New Roman" w:hAnsi="Times New Roman"/>
        </w:rPr>
        <w:t>不</w:t>
      </w:r>
      <w:r>
        <w:rPr>
          <w:rFonts w:ascii="Times New Roman" w:hAnsi="Times New Roman"/>
        </w:rPr>
        <w:t>应</w:t>
      </w:r>
      <w:r>
        <w:rPr>
          <w:rFonts w:hint="eastAsia" w:ascii="Times New Roman" w:hAnsi="Times New Roman"/>
        </w:rPr>
        <w:t>小</w:t>
      </w:r>
      <w:r>
        <w:rPr>
          <w:rFonts w:ascii="Times New Roman" w:hAnsi="Times New Roman"/>
        </w:rPr>
        <w:t>于6000 cd。</w:t>
      </w:r>
    </w:p>
    <w:p w14:paraId="1CAD5D81">
      <w:pPr>
        <w:pStyle w:val="6"/>
        <w:spacing w:line="360" w:lineRule="exact"/>
        <w:rPr>
          <w:rFonts w:ascii="Times New Roman" w:hAnsi="Times New Roman"/>
        </w:rPr>
      </w:pPr>
      <w:r>
        <w:rPr>
          <w:rFonts w:ascii="Times New Roman" w:hAnsi="Times New Roman"/>
        </w:rPr>
        <w:t>4.5.8　前位灯、后位灯、牌照灯和仪表灯应能同时启闭，当前照灯关闭和发动机熄火时仍应能点亮。电路连接应保证前位灯、后位灯和牌照灯只能同时打开或关闭。</w:t>
      </w:r>
    </w:p>
    <w:p w14:paraId="0E8E35A9">
      <w:pPr>
        <w:pStyle w:val="6"/>
        <w:spacing w:line="360" w:lineRule="exact"/>
        <w:rPr>
          <w:rFonts w:ascii="Times New Roman" w:hAnsi="Times New Roman"/>
        </w:rPr>
      </w:pPr>
      <w:r>
        <w:rPr>
          <w:rFonts w:ascii="Times New Roman" w:hAnsi="Times New Roman"/>
        </w:rPr>
        <w:t>4.5.9  前、后转向信号灯、危险警告信号及制动灯白天在距其 100</w:t>
      </w:r>
      <w:r>
        <w:rPr>
          <w:rFonts w:hint="eastAsia" w:ascii="Times New Roman" w:hAnsi="Times New Roman"/>
        </w:rPr>
        <w:t xml:space="preserve"> </w:t>
      </w:r>
      <w:r>
        <w:rPr>
          <w:rFonts w:ascii="Times New Roman" w:hAnsi="Times New Roman"/>
        </w:rPr>
        <w:t>m处应能观察到其工作状况。前、后位置灯夜间能见度良好时在距其 300</w:t>
      </w:r>
      <w:r>
        <w:rPr>
          <w:rFonts w:hint="eastAsia" w:ascii="Times New Roman" w:hAnsi="Times New Roman"/>
        </w:rPr>
        <w:t xml:space="preserve"> </w:t>
      </w:r>
      <w:r>
        <w:rPr>
          <w:rFonts w:ascii="Times New Roman" w:hAnsi="Times New Roman"/>
        </w:rPr>
        <w:t>m处应能观察到其工作状况；后牌照灯夜间能见度良好时在距其 20 m处应能看清号牌号码。制动灯的发光强度应明显大于后位灯。前位灯、后位灯和制动灯</w:t>
      </w:r>
      <w:r>
        <w:rPr>
          <w:rFonts w:hint="eastAsia" w:ascii="Times New Roman" w:hAnsi="Times New Roman"/>
        </w:rPr>
        <w:t>的</w:t>
      </w:r>
      <w:r>
        <w:rPr>
          <w:rFonts w:ascii="Times New Roman" w:hAnsi="Times New Roman"/>
        </w:rPr>
        <w:t>配光性能</w:t>
      </w:r>
      <w:r>
        <w:rPr>
          <w:rFonts w:hint="eastAsia" w:ascii="Times New Roman" w:hAnsi="Times New Roman"/>
        </w:rPr>
        <w:t>应符合</w:t>
      </w:r>
      <w:r>
        <w:rPr>
          <w:rFonts w:ascii="Times New Roman" w:hAnsi="Times New Roman"/>
        </w:rPr>
        <w:t>GB/T 191</w:t>
      </w:r>
      <w:r>
        <w:rPr>
          <w:rFonts w:hint="eastAsia" w:ascii="Times New Roman" w:hAnsi="Times New Roman"/>
        </w:rPr>
        <w:t>25的规定。</w:t>
      </w:r>
      <w:r>
        <w:rPr>
          <w:rFonts w:ascii="Times New Roman" w:hAnsi="Times New Roman"/>
        </w:rPr>
        <w:t>转向信号灯</w:t>
      </w:r>
      <w:r>
        <w:rPr>
          <w:rFonts w:hint="eastAsia" w:ascii="Times New Roman" w:hAnsi="Times New Roman"/>
        </w:rPr>
        <w:t>的配光性能应符合</w:t>
      </w:r>
      <w:r>
        <w:rPr>
          <w:rFonts w:ascii="Times New Roman" w:hAnsi="Times New Roman"/>
        </w:rPr>
        <w:t>GB/T 191</w:t>
      </w:r>
      <w:r>
        <w:rPr>
          <w:rFonts w:hint="eastAsia" w:ascii="Times New Roman" w:hAnsi="Times New Roman"/>
        </w:rPr>
        <w:t>23的规定。倒车灯车灯的配光性能应符合</w:t>
      </w:r>
      <w:r>
        <w:rPr>
          <w:rFonts w:ascii="Times New Roman" w:hAnsi="Times New Roman"/>
        </w:rPr>
        <w:t>GB/T 191</w:t>
      </w:r>
      <w:r>
        <w:rPr>
          <w:rFonts w:hint="eastAsia" w:ascii="Times New Roman" w:hAnsi="Times New Roman"/>
        </w:rPr>
        <w:t>35的规定。</w:t>
      </w:r>
    </w:p>
    <w:p w14:paraId="3D3A1173">
      <w:pPr>
        <w:pStyle w:val="6"/>
        <w:spacing w:line="360" w:lineRule="exact"/>
        <w:rPr>
          <w:rFonts w:ascii="Times New Roman" w:hAnsi="Times New Roman"/>
        </w:rPr>
      </w:pPr>
      <w:r>
        <w:rPr>
          <w:rFonts w:ascii="Times New Roman" w:hAnsi="Times New Roman"/>
        </w:rPr>
        <w:t>4.5.10  三轮汽车应具有</w:t>
      </w:r>
      <w:r>
        <w:rPr>
          <w:rFonts w:ascii="Times New Roman" w:hAnsi="Times New Roman"/>
          <w:kern w:val="0"/>
          <w:szCs w:val="21"/>
        </w:rPr>
        <w:t>危险警告信号装置</w:t>
      </w:r>
      <w:r>
        <w:rPr>
          <w:rFonts w:ascii="Times New Roman" w:hAnsi="Times New Roman"/>
        </w:rPr>
        <w:t>，其操纵装置应不受灯光总开关的控制。</w:t>
      </w:r>
      <w:r>
        <w:rPr>
          <w:rFonts w:ascii="Times New Roman" w:hAnsi="Times New Roman"/>
          <w:kern w:val="0"/>
          <w:szCs w:val="21"/>
        </w:rPr>
        <w:t>危险警告信号</w:t>
      </w:r>
      <w:r>
        <w:rPr>
          <w:rFonts w:ascii="Times New Roman" w:hAnsi="Times New Roman"/>
        </w:rPr>
        <w:t>和转向信号灯的闪光频率为1.5 Hz±0.5 Hz，起动时间不应大于1.5 s。</w:t>
      </w:r>
      <w:r>
        <w:rPr>
          <w:rFonts w:ascii="Times New Roman" w:hAnsi="Times New Roman"/>
          <w:kern w:val="0"/>
          <w:szCs w:val="21"/>
        </w:rPr>
        <w:t>除转向信号灯、危险警告信号外，其它外部灯具不允许闪烁。</w:t>
      </w:r>
    </w:p>
    <w:p w14:paraId="38528A73">
      <w:pPr>
        <w:pStyle w:val="6"/>
        <w:spacing w:line="360" w:lineRule="exact"/>
        <w:rPr>
          <w:rFonts w:ascii="Times New Roman" w:hAnsi="Times New Roman"/>
          <w:szCs w:val="21"/>
        </w:rPr>
      </w:pPr>
      <w:r>
        <w:rPr>
          <w:rFonts w:ascii="Times New Roman" w:hAnsi="Times New Roman"/>
        </w:rPr>
        <w:t>4.5.11  三轮汽车</w:t>
      </w:r>
      <w:r>
        <w:rPr>
          <w:rFonts w:ascii="Times New Roman" w:hAnsi="Times New Roman"/>
          <w:szCs w:val="21"/>
        </w:rPr>
        <w:t>应装置非三角形后回复反射器。后回复反射器应与车体牢固连接，且应能保证夜间在其正后方 150 m处用发光强度</w:t>
      </w:r>
      <w:r>
        <w:rPr>
          <w:rFonts w:hint="eastAsia" w:ascii="Times New Roman" w:hAnsi="Times New Roman"/>
          <w:szCs w:val="21"/>
        </w:rPr>
        <w:t>大于18000 cd</w:t>
      </w:r>
      <w:r>
        <w:rPr>
          <w:rFonts w:ascii="Times New Roman" w:hAnsi="Times New Roman"/>
          <w:szCs w:val="21"/>
        </w:rPr>
        <w:t>的前照灯照射时，在照射位置就能确认其反射光。回复反射器</w:t>
      </w:r>
      <w:r>
        <w:rPr>
          <w:rFonts w:hint="eastAsia" w:ascii="Times New Roman" w:hAnsi="Times New Roman"/>
          <w:szCs w:val="21"/>
        </w:rPr>
        <w:t>的配光性能应符合</w:t>
      </w:r>
      <w:r>
        <w:rPr>
          <w:rFonts w:ascii="Times New Roman" w:hAnsi="Times New Roman"/>
        </w:rPr>
        <w:t>GB/T 191</w:t>
      </w:r>
      <w:r>
        <w:rPr>
          <w:rFonts w:hint="eastAsia" w:ascii="Times New Roman" w:hAnsi="Times New Roman"/>
        </w:rPr>
        <w:t>28的规定。</w:t>
      </w:r>
    </w:p>
    <w:p w14:paraId="27D48F93">
      <w:pPr>
        <w:pStyle w:val="6"/>
        <w:spacing w:line="360" w:lineRule="exact"/>
        <w:rPr>
          <w:rFonts w:ascii="Times New Roman" w:hAnsi="Times New Roman"/>
        </w:rPr>
      </w:pPr>
      <w:r>
        <w:rPr>
          <w:rFonts w:ascii="Times New Roman" w:hAnsi="Times New Roman"/>
          <w:szCs w:val="21"/>
        </w:rPr>
        <w:t>4.5.12  三轮汽车应按GB 23254的规定在车身侧面及后部设置车身反光标识。</w:t>
      </w:r>
      <w:r>
        <w:rPr>
          <w:rFonts w:ascii="Times New Roman" w:hAnsi="Times New Roman"/>
        </w:rPr>
        <w:t>厢式三轮汽车应装备反射器型车身反光标识。</w:t>
      </w:r>
      <w:r>
        <w:rPr>
          <w:rFonts w:ascii="Times New Roman" w:hAnsi="Times New Roman"/>
          <w:color w:val="000000"/>
          <w:szCs w:val="21"/>
        </w:rPr>
        <w:t>后部的车身反光标识应能体现后部的高度和宽度，对厢式及罐式三轮汽车应能体现货厢及罐体轮廓。</w:t>
      </w:r>
      <w:r>
        <w:rPr>
          <w:rFonts w:ascii="Times New Roman" w:hAnsi="Times New Roman"/>
          <w:lang w:val="en"/>
        </w:rPr>
        <w:t>采用一级车身反光标识材料时与</w:t>
      </w:r>
      <w:r>
        <w:rPr>
          <w:rFonts w:ascii="Times New Roman" w:hAnsi="Times New Roman"/>
          <w:szCs w:val="21"/>
        </w:rPr>
        <w:t>后回复反射器</w:t>
      </w:r>
      <w:r>
        <w:rPr>
          <w:rFonts w:ascii="Times New Roman" w:hAnsi="Times New Roman"/>
          <w:lang w:val="en"/>
        </w:rPr>
        <w:t>的面积之和应大于等于0.1 m</w:t>
      </w:r>
      <w:r>
        <w:rPr>
          <w:rFonts w:ascii="Times New Roman" w:hAnsi="Times New Roman"/>
          <w:vertAlign w:val="superscript"/>
          <w:lang w:val="en"/>
        </w:rPr>
        <w:t>2</w:t>
      </w:r>
      <w:r>
        <w:rPr>
          <w:rFonts w:ascii="Times New Roman" w:hAnsi="Times New Roman"/>
          <w:lang w:val="en"/>
        </w:rPr>
        <w:t>，采用二级车身反光标识材料时与</w:t>
      </w:r>
      <w:r>
        <w:rPr>
          <w:rFonts w:ascii="Times New Roman" w:hAnsi="Times New Roman"/>
          <w:szCs w:val="21"/>
        </w:rPr>
        <w:t>后回复反射器</w:t>
      </w:r>
      <w:r>
        <w:rPr>
          <w:rFonts w:ascii="Times New Roman" w:hAnsi="Times New Roman"/>
          <w:lang w:val="en"/>
        </w:rPr>
        <w:t>的面积之和</w:t>
      </w:r>
      <w:r>
        <w:rPr>
          <w:rFonts w:hint="eastAsia" w:ascii="Times New Roman" w:hAnsi="Times New Roman"/>
        </w:rPr>
        <w:t>不</w:t>
      </w:r>
      <w:r>
        <w:rPr>
          <w:rFonts w:ascii="Times New Roman" w:hAnsi="Times New Roman"/>
          <w:lang w:val="en"/>
        </w:rPr>
        <w:t>应</w:t>
      </w:r>
      <w:r>
        <w:rPr>
          <w:rFonts w:hint="eastAsia" w:ascii="Times New Roman" w:hAnsi="Times New Roman"/>
        </w:rPr>
        <w:t>小</w:t>
      </w:r>
      <w:r>
        <w:rPr>
          <w:rFonts w:ascii="Times New Roman" w:hAnsi="Times New Roman"/>
          <w:lang w:val="en"/>
        </w:rPr>
        <w:t>于0.2 m</w:t>
      </w:r>
      <w:r>
        <w:rPr>
          <w:rFonts w:ascii="Times New Roman" w:hAnsi="Times New Roman"/>
          <w:vertAlign w:val="superscript"/>
          <w:lang w:val="en"/>
        </w:rPr>
        <w:t>2</w:t>
      </w:r>
      <w:r>
        <w:rPr>
          <w:rFonts w:ascii="Times New Roman" w:hAnsi="Times New Roman"/>
          <w:lang w:val="en"/>
        </w:rPr>
        <w:t>。</w:t>
      </w:r>
      <w:r>
        <w:rPr>
          <w:rFonts w:ascii="Times New Roman" w:hAnsi="Times New Roman"/>
        </w:rPr>
        <w:t>侧面的车身反光标识</w:t>
      </w:r>
      <w:r>
        <w:rPr>
          <w:rFonts w:hint="eastAsia" w:ascii="Times New Roman" w:hAnsi="Times New Roman"/>
        </w:rPr>
        <w:t>不</w:t>
      </w:r>
      <w:r>
        <w:rPr>
          <w:rFonts w:ascii="Times New Roman" w:hAnsi="Times New Roman"/>
          <w:lang w:val="en"/>
        </w:rPr>
        <w:t>应</w:t>
      </w:r>
      <w:r>
        <w:rPr>
          <w:rFonts w:hint="eastAsia" w:ascii="Times New Roman" w:hAnsi="Times New Roman"/>
        </w:rPr>
        <w:t>小</w:t>
      </w:r>
      <w:r>
        <w:rPr>
          <w:rFonts w:ascii="Times New Roman" w:hAnsi="Times New Roman"/>
          <w:lang w:val="en"/>
        </w:rPr>
        <w:t>于</w:t>
      </w:r>
      <w:r>
        <w:rPr>
          <w:rFonts w:ascii="Times New Roman" w:hAnsi="Times New Roman"/>
        </w:rPr>
        <w:t xml:space="preserve"> 1.2 m，对侧面车身结构无连续平面的三轮汽车</w:t>
      </w:r>
      <w:r>
        <w:rPr>
          <w:rFonts w:hint="eastAsia" w:ascii="Times New Roman" w:hAnsi="Times New Roman"/>
        </w:rPr>
        <w:t>不</w:t>
      </w:r>
      <w:r>
        <w:rPr>
          <w:rFonts w:ascii="Times New Roman" w:hAnsi="Times New Roman"/>
          <w:lang w:val="en"/>
        </w:rPr>
        <w:t>应</w:t>
      </w:r>
      <w:r>
        <w:rPr>
          <w:rFonts w:hint="eastAsia" w:ascii="Times New Roman" w:hAnsi="Times New Roman"/>
        </w:rPr>
        <w:t>小</w:t>
      </w:r>
      <w:r>
        <w:rPr>
          <w:rFonts w:ascii="Times New Roman" w:hAnsi="Times New Roman"/>
          <w:lang w:val="en"/>
        </w:rPr>
        <w:t>于</w:t>
      </w:r>
      <w:r>
        <w:rPr>
          <w:rFonts w:ascii="Times New Roman" w:hAnsi="Times New Roman"/>
        </w:rPr>
        <w:t>车长的 30 %，货厢长度不足车长 50 %的应为货厢长度。</w:t>
      </w:r>
    </w:p>
    <w:p w14:paraId="6F08F288">
      <w:pPr>
        <w:pStyle w:val="6"/>
        <w:spacing w:line="360" w:lineRule="exact"/>
        <w:rPr>
          <w:rFonts w:ascii="Times New Roman" w:hAnsi="Times New Roman"/>
        </w:rPr>
      </w:pPr>
      <w:r>
        <w:rPr>
          <w:rFonts w:ascii="Times New Roman" w:hAnsi="Times New Roman"/>
        </w:rPr>
        <w:t>4.5.13  三轮汽车应设置具有连续发声功能的喇叭，其工作应可靠。在距车前2 m、离地高1.2 m处测量时，喇叭声级值应为90 dB（A）～115 dB（A）。</w:t>
      </w:r>
    </w:p>
    <w:p w14:paraId="323C3730">
      <w:pPr>
        <w:pStyle w:val="6"/>
        <w:spacing w:line="360" w:lineRule="exact"/>
        <w:rPr>
          <w:rFonts w:ascii="Times New Roman" w:hAnsi="Times New Roman"/>
          <w:szCs w:val="21"/>
        </w:rPr>
      </w:pPr>
      <w:r>
        <w:rPr>
          <w:rFonts w:ascii="Times New Roman" w:hAnsi="Times New Roman"/>
        </w:rPr>
        <w:t xml:space="preserve">4.5.14  </w:t>
      </w:r>
      <w:r>
        <w:rPr>
          <w:rFonts w:ascii="Times New Roman" w:hAnsi="Times New Roman"/>
          <w:szCs w:val="21"/>
        </w:rPr>
        <w:t>三轮汽车应装有机油压力表（或机油压力指示器）、水温表（蒸发式水冷却系统除外）、电流表或充电指示器，并应保持灵敏有效。采用气压制动系统的三轮汽车应装有气压表。</w:t>
      </w:r>
    </w:p>
    <w:p w14:paraId="1FE8B899">
      <w:pPr>
        <w:pStyle w:val="6"/>
        <w:spacing w:before="156" w:beforeLines="50" w:after="156" w:afterLines="50" w:line="360" w:lineRule="exact"/>
        <w:rPr>
          <w:rFonts w:ascii="黑体" w:hAnsi="黑体" w:eastAsia="黑体"/>
        </w:rPr>
      </w:pPr>
      <w:r>
        <w:rPr>
          <w:rFonts w:ascii="黑体" w:hAnsi="黑体" w:eastAsia="黑体"/>
        </w:rPr>
        <w:t>4.6  安全防护装置</w:t>
      </w:r>
    </w:p>
    <w:p w14:paraId="7FA9F5D6">
      <w:pPr>
        <w:pStyle w:val="6"/>
        <w:spacing w:line="360" w:lineRule="exact"/>
        <w:rPr>
          <w:rFonts w:ascii="Times New Roman" w:hAnsi="Times New Roman"/>
          <w:szCs w:val="21"/>
        </w:rPr>
      </w:pPr>
      <w:r>
        <w:rPr>
          <w:rFonts w:ascii="Times New Roman" w:hAnsi="Times New Roman" w:eastAsia="方正书宋简体"/>
        </w:rPr>
        <w:t xml:space="preserve">4.6.1  </w:t>
      </w:r>
      <w:r>
        <w:rPr>
          <w:rFonts w:ascii="Times New Roman" w:hAnsi="Times New Roman"/>
        </w:rPr>
        <w:t>三轮汽车应在左右至少各设置一面外后视镜，</w:t>
      </w:r>
      <w:r>
        <w:rPr>
          <w:rFonts w:ascii="Times New Roman" w:hAnsi="Times New Roman"/>
          <w:szCs w:val="21"/>
        </w:rPr>
        <w:t>外后视镜应易于调节，并能有效保持其位置。</w:t>
      </w:r>
      <w:r>
        <w:rPr>
          <w:rFonts w:ascii="Times New Roman" w:hAnsi="Times New Roman"/>
        </w:rPr>
        <w:t>当行人等接触该镜时，应具有能缓和冲击的功能。后视镜的</w:t>
      </w:r>
      <w:r>
        <w:rPr>
          <w:rFonts w:hint="eastAsia" w:ascii="Times New Roman" w:hAnsi="Times New Roman"/>
        </w:rPr>
        <w:t>性能、</w:t>
      </w:r>
      <w:r>
        <w:rPr>
          <w:rFonts w:ascii="Times New Roman" w:hAnsi="Times New Roman"/>
        </w:rPr>
        <w:t>安装位置和角度应符合</w:t>
      </w:r>
      <w:r>
        <w:rPr>
          <w:rFonts w:ascii="Times New Roman" w:hAnsi="Times New Roman"/>
          <w:szCs w:val="21"/>
        </w:rPr>
        <w:t>GB/T 19134</w:t>
      </w:r>
      <w:r>
        <w:rPr>
          <w:rFonts w:ascii="Times New Roman" w:hAnsi="Times New Roman"/>
        </w:rPr>
        <w:t>规定</w:t>
      </w:r>
      <w:r>
        <w:rPr>
          <w:rFonts w:ascii="Times New Roman" w:hAnsi="Times New Roman"/>
          <w:szCs w:val="21"/>
        </w:rPr>
        <w:t>。</w:t>
      </w:r>
    </w:p>
    <w:p w14:paraId="0BDE989C">
      <w:pPr>
        <w:pStyle w:val="6"/>
        <w:spacing w:line="360" w:lineRule="exact"/>
        <w:rPr>
          <w:rFonts w:ascii="Times New Roman" w:hAnsi="Times New Roman"/>
        </w:rPr>
      </w:pPr>
      <w:r>
        <w:rPr>
          <w:rFonts w:ascii="Times New Roman" w:hAnsi="Times New Roman"/>
        </w:rPr>
        <w:t>4.6.2  全封闭驾驶室三轮汽车和简易棚三轮汽车的前风窗玻璃应装备能正常工作的刮水器，其刮刷面积应确保驾驶员具有良好的前方视野。刮水器关闭时，刮片应能自动返回至初始位置。</w:t>
      </w:r>
    </w:p>
    <w:p w14:paraId="204DE2CE">
      <w:pPr>
        <w:pStyle w:val="6"/>
        <w:spacing w:line="360" w:lineRule="exact"/>
        <w:rPr>
          <w:rFonts w:ascii="Times New Roman" w:hAnsi="Times New Roman"/>
        </w:rPr>
      </w:pPr>
      <w:r>
        <w:rPr>
          <w:rFonts w:ascii="Times New Roman" w:hAnsi="Times New Roman"/>
        </w:rPr>
        <w:t>4.6.3  全封闭驾驶室和简易棚三轮汽车驾驶室内应设置防止阳光直射而使驾驶员产生眩目的装置。</w:t>
      </w:r>
    </w:p>
    <w:p w14:paraId="3C727F71">
      <w:pPr>
        <w:pStyle w:val="6"/>
        <w:spacing w:line="360" w:lineRule="exact"/>
        <w:rPr>
          <w:rFonts w:ascii="Times New Roman" w:hAnsi="Times New Roman"/>
        </w:rPr>
      </w:pPr>
      <w:r>
        <w:rPr>
          <w:rFonts w:ascii="Times New Roman" w:hAnsi="Times New Roman"/>
        </w:rPr>
        <w:t>4.6.4  三轮汽车的传动皮带及皮带轮、飞轮、风扇、起动爪和其他运动部件，在正常起动或运行中，可能导致危险的，应置于安全位置或加防护罩或挡板或类似防护装置进行防护。防护装置应固定牢固，不使用工具无法拆卸。</w:t>
      </w:r>
    </w:p>
    <w:p w14:paraId="1189F810">
      <w:pPr>
        <w:pStyle w:val="6"/>
        <w:spacing w:line="360" w:lineRule="exact"/>
        <w:rPr>
          <w:rFonts w:ascii="Times New Roman" w:hAnsi="Times New Roman"/>
        </w:rPr>
      </w:pPr>
      <w:r>
        <w:rPr>
          <w:rFonts w:ascii="Times New Roman" w:hAnsi="Times New Roman"/>
        </w:rPr>
        <w:t>4.6.5  三轮汽车的所有车轮均应有挡泥板。</w:t>
      </w:r>
    </w:p>
    <w:p w14:paraId="228B56C9">
      <w:pPr>
        <w:pStyle w:val="6"/>
        <w:spacing w:line="360" w:lineRule="exact"/>
        <w:rPr>
          <w:rFonts w:ascii="Times New Roman" w:hAnsi="Times New Roman"/>
        </w:rPr>
      </w:pPr>
      <w:r>
        <w:rPr>
          <w:rFonts w:ascii="Times New Roman" w:hAnsi="Times New Roman"/>
        </w:rPr>
        <w:t>4.6.6  除自卸三轮汽车</w:t>
      </w:r>
      <w:r>
        <w:rPr>
          <w:rFonts w:hint="eastAsia" w:ascii="Times New Roman" w:hAnsi="Times New Roman"/>
        </w:rPr>
        <w:t>和装载质量</w:t>
      </w:r>
      <w:r>
        <w:rPr>
          <w:rFonts w:ascii="Times New Roman" w:hAnsi="Times New Roman"/>
        </w:rPr>
        <w:t xml:space="preserve"> 1000</w:t>
      </w:r>
      <w:r>
        <w:rPr>
          <w:rFonts w:hint="eastAsia" w:ascii="Times New Roman" w:hAnsi="Times New Roman"/>
        </w:rPr>
        <w:t xml:space="preserve"> </w:t>
      </w:r>
      <w:r>
        <w:rPr>
          <w:rFonts w:ascii="Times New Roman" w:hAnsi="Times New Roman"/>
        </w:rPr>
        <w:t xml:space="preserve">kg </w:t>
      </w:r>
      <w:r>
        <w:rPr>
          <w:rFonts w:hint="eastAsia" w:ascii="Times New Roman" w:hAnsi="Times New Roman"/>
        </w:rPr>
        <w:t>以下的</w:t>
      </w:r>
      <w:r>
        <w:rPr>
          <w:rFonts w:ascii="Times New Roman" w:hAnsi="Times New Roman"/>
        </w:rPr>
        <w:t>三轮汽车外，其他型式三轮汽车货箱前部应安装比驾驶室高至少70 mm的安全架。无驾驶室的三轮汽车货箱前部应安装安全架，其高度应高出驾驶</w:t>
      </w:r>
      <w:r>
        <w:rPr>
          <w:rFonts w:hint="eastAsia" w:ascii="Times New Roman" w:hAnsi="Times New Roman"/>
        </w:rPr>
        <w:t>员</w:t>
      </w:r>
      <w:r>
        <w:rPr>
          <w:rFonts w:ascii="Times New Roman" w:hAnsi="Times New Roman"/>
        </w:rPr>
        <w:t>座垫平面至少800 mm。</w:t>
      </w:r>
    </w:p>
    <w:p w14:paraId="66C654FE">
      <w:pPr>
        <w:pStyle w:val="6"/>
        <w:spacing w:before="156" w:beforeLines="50" w:after="156" w:afterLines="50" w:line="360" w:lineRule="exact"/>
        <w:rPr>
          <w:rFonts w:ascii="黑体" w:hAnsi="黑体" w:eastAsia="黑体"/>
        </w:rPr>
      </w:pPr>
      <w:r>
        <w:rPr>
          <w:rFonts w:ascii="黑体" w:hAnsi="黑体" w:eastAsia="黑体"/>
        </w:rPr>
        <w:t>4.7  管路、燃油和润滑系统</w:t>
      </w:r>
    </w:p>
    <w:p w14:paraId="60A5428B">
      <w:pPr>
        <w:pStyle w:val="6"/>
        <w:spacing w:before="156" w:beforeLines="50" w:after="156" w:afterLines="50" w:line="360" w:lineRule="exact"/>
        <w:rPr>
          <w:rFonts w:ascii="黑体" w:hAnsi="黑体" w:eastAsia="黑体"/>
        </w:rPr>
      </w:pPr>
      <w:r>
        <w:rPr>
          <w:rFonts w:ascii="黑体" w:hAnsi="黑体" w:eastAsia="黑体"/>
        </w:rPr>
        <w:t>4.7.1  管路及部件</w:t>
      </w:r>
    </w:p>
    <w:p w14:paraId="4F3AE63C">
      <w:pPr>
        <w:pStyle w:val="6"/>
        <w:spacing w:line="360" w:lineRule="exact"/>
        <w:rPr>
          <w:rFonts w:ascii="Times New Roman" w:hAnsi="Times New Roman"/>
        </w:rPr>
      </w:pPr>
      <w:r>
        <w:rPr>
          <w:rFonts w:ascii="Times New Roman" w:hAnsi="Times New Roman"/>
        </w:rPr>
        <w:t>4.7.1.1  管路，特别是挠性管路和管接头应远离高温表面、运动件、排气口和电气设备。</w:t>
      </w:r>
    </w:p>
    <w:p w14:paraId="3BE6D4B8">
      <w:pPr>
        <w:pStyle w:val="6"/>
        <w:spacing w:line="360" w:lineRule="exact"/>
        <w:rPr>
          <w:rFonts w:ascii="Times New Roman" w:hAnsi="Times New Roman"/>
        </w:rPr>
      </w:pPr>
      <w:r>
        <w:rPr>
          <w:rFonts w:ascii="Times New Roman" w:hAnsi="Times New Roman"/>
        </w:rPr>
        <w:t>4.7.1.2  高压管路应固定牢靠，必要时加以防护，以保证在油管破裂时，不致喷溅到人体、高温部件和电气设备等能导致危险处。</w:t>
      </w:r>
    </w:p>
    <w:p w14:paraId="08AA674A">
      <w:pPr>
        <w:pStyle w:val="6"/>
        <w:spacing w:before="156" w:beforeLines="50" w:after="156" w:afterLines="50" w:line="360" w:lineRule="exact"/>
        <w:rPr>
          <w:rFonts w:ascii="黑体" w:hAnsi="黑体" w:eastAsia="黑体"/>
        </w:rPr>
      </w:pPr>
      <w:r>
        <w:rPr>
          <w:rFonts w:ascii="黑体" w:hAnsi="黑体" w:eastAsia="黑体"/>
        </w:rPr>
        <w:t>4.7.2  油箱</w:t>
      </w:r>
    </w:p>
    <w:p w14:paraId="7C2A44B1">
      <w:pPr>
        <w:pStyle w:val="6"/>
        <w:spacing w:line="360" w:lineRule="exact"/>
        <w:rPr>
          <w:rFonts w:ascii="Times New Roman" w:hAnsi="Times New Roman"/>
        </w:rPr>
      </w:pPr>
      <w:r>
        <w:rPr>
          <w:rFonts w:ascii="Times New Roman" w:hAnsi="Times New Roman"/>
        </w:rPr>
        <w:t>4.7.2.1  油箱的布置应避免加注油料时泄露或溢出的油料进入排气管、排气口投影区及电气设备。</w:t>
      </w:r>
    </w:p>
    <w:p w14:paraId="2CB91C94">
      <w:pPr>
        <w:pStyle w:val="6"/>
        <w:spacing w:line="360" w:lineRule="exact"/>
        <w:rPr>
          <w:rFonts w:ascii="Times New Roman" w:hAnsi="Times New Roman"/>
          <w:color w:val="000000"/>
          <w:szCs w:val="21"/>
        </w:rPr>
      </w:pPr>
      <w:r>
        <w:rPr>
          <w:rFonts w:ascii="Times New Roman" w:hAnsi="Times New Roman"/>
        </w:rPr>
        <w:t>4.7.2.2  油箱</w:t>
      </w:r>
      <w:r>
        <w:rPr>
          <w:rFonts w:ascii="Times New Roman" w:hAnsi="Times New Roman"/>
          <w:color w:val="000000"/>
          <w:szCs w:val="21"/>
        </w:rPr>
        <w:t>的通气口和加注口不应设置在有乘员的车厢内。</w:t>
      </w:r>
    </w:p>
    <w:p w14:paraId="2E4C9CE0">
      <w:pPr>
        <w:pStyle w:val="6"/>
        <w:spacing w:line="360" w:lineRule="exact"/>
        <w:rPr>
          <w:rFonts w:ascii="Times New Roman" w:hAnsi="Times New Roman"/>
          <w:color w:val="000000"/>
          <w:szCs w:val="21"/>
        </w:rPr>
      </w:pPr>
      <w:r>
        <w:rPr>
          <w:rFonts w:ascii="Times New Roman" w:hAnsi="Times New Roman"/>
        </w:rPr>
        <w:t>4.7.2.3  油箱</w:t>
      </w:r>
      <w:r>
        <w:rPr>
          <w:rFonts w:ascii="Times New Roman" w:hAnsi="Times New Roman"/>
          <w:color w:val="000000"/>
          <w:szCs w:val="21"/>
        </w:rPr>
        <w:t>及燃料管路应坚固并固定牢靠</w:t>
      </w:r>
      <w:r>
        <w:rPr>
          <w:rFonts w:ascii="Times New Roman" w:hAnsi="Times New Roman"/>
        </w:rPr>
        <w:t>，</w:t>
      </w:r>
      <w:r>
        <w:rPr>
          <w:rFonts w:ascii="Times New Roman" w:hAnsi="Times New Roman"/>
          <w:color w:val="000000"/>
          <w:szCs w:val="21"/>
        </w:rPr>
        <w:t>不会因振动和冲击而发生损坏和漏油现象。</w:t>
      </w:r>
      <w:r>
        <w:rPr>
          <w:rFonts w:ascii="Times New Roman" w:hAnsi="Times New Roman"/>
        </w:rPr>
        <w:t>油箱</w:t>
      </w:r>
      <w:r>
        <w:rPr>
          <w:rFonts w:ascii="Times New Roman" w:hAnsi="Times New Roman"/>
          <w:color w:val="000000"/>
          <w:szCs w:val="21"/>
        </w:rPr>
        <w:t>加注口及通气口应保证在三轮汽车晃动时不泄漏。</w:t>
      </w:r>
    </w:p>
    <w:p w14:paraId="7A1009FD">
      <w:pPr>
        <w:pStyle w:val="6"/>
        <w:spacing w:line="360" w:lineRule="exact"/>
        <w:rPr>
          <w:rFonts w:ascii="Times New Roman" w:hAnsi="Times New Roman"/>
        </w:rPr>
      </w:pPr>
      <w:r>
        <w:rPr>
          <w:rFonts w:ascii="Times New Roman" w:hAnsi="Times New Roman"/>
          <w:color w:val="000000"/>
          <w:szCs w:val="21"/>
        </w:rPr>
        <w:t xml:space="preserve">4.7.2.4  </w:t>
      </w:r>
      <w:r>
        <w:rPr>
          <w:rFonts w:ascii="Times New Roman" w:hAnsi="Times New Roman"/>
        </w:rPr>
        <w:t>加油口和通气口不允许对着排气管的开口方向，且应距排气管的出气口端300 mm以上，否则应设置有效的隔热装置。油箱的加油口和通气口应距裸露的电气接头及电气开关200 mm以上。</w:t>
      </w:r>
    </w:p>
    <w:p w14:paraId="427D99F7">
      <w:pPr>
        <w:pStyle w:val="6"/>
        <w:spacing w:before="156" w:beforeLines="50" w:after="156" w:afterLines="50" w:line="360" w:lineRule="exact"/>
        <w:rPr>
          <w:rFonts w:ascii="黑体" w:hAnsi="黑体" w:eastAsia="黑体"/>
        </w:rPr>
      </w:pPr>
      <w:r>
        <w:rPr>
          <w:rFonts w:ascii="黑体" w:hAnsi="黑体" w:eastAsia="黑体"/>
        </w:rPr>
        <w:t>4.8  热防护</w:t>
      </w:r>
    </w:p>
    <w:p w14:paraId="5B94EBD3">
      <w:pPr>
        <w:pStyle w:val="6"/>
        <w:spacing w:line="360" w:lineRule="exact"/>
        <w:rPr>
          <w:rFonts w:ascii="Times New Roman" w:hAnsi="Times New Roman" w:eastAsia="方正书宋简体"/>
        </w:rPr>
      </w:pPr>
      <w:r>
        <w:rPr>
          <w:rFonts w:ascii="Times New Roman" w:hAnsi="Times New Roman"/>
        </w:rPr>
        <w:t>4.8.1  三轮汽车按使用</w:t>
      </w:r>
      <w:r>
        <w:rPr>
          <w:rFonts w:asciiTheme="minorEastAsia" w:hAnsiTheme="minorEastAsia" w:eastAsiaTheme="minorEastAsia"/>
        </w:rPr>
        <w:t>说明书正常起动和运行中可能触及的，且在环境温度为</w:t>
      </w:r>
      <w:r>
        <w:rPr>
          <w:rFonts w:hint="eastAsia" w:asciiTheme="minorEastAsia" w:hAnsiTheme="minorEastAsia" w:eastAsiaTheme="minorEastAsia"/>
        </w:rPr>
        <w:t>（</w:t>
      </w:r>
      <w:r>
        <w:rPr>
          <w:rFonts w:asciiTheme="minorEastAsia" w:hAnsiTheme="minorEastAsia" w:eastAsiaTheme="minorEastAsia"/>
        </w:rPr>
        <w:t>23±</w:t>
      </w:r>
      <w:r>
        <w:rPr>
          <w:rFonts w:hint="eastAsia" w:asciiTheme="minorEastAsia" w:hAnsiTheme="minorEastAsia" w:eastAsiaTheme="minorEastAsia"/>
        </w:rPr>
        <w:t>5）</w:t>
      </w:r>
      <w:r>
        <w:rPr>
          <w:rFonts w:asciiTheme="minorEastAsia" w:hAnsiTheme="minorEastAsia" w:eastAsiaTheme="minorEastAsia"/>
        </w:rPr>
        <w:t>°C下测量温度大于80°C的热表面应有永久性联结或固定</w:t>
      </w:r>
      <w:r>
        <w:rPr>
          <w:rFonts w:hint="eastAsia" w:asciiTheme="minorEastAsia" w:hAnsiTheme="minorEastAsia" w:eastAsiaTheme="minorEastAsia"/>
        </w:rPr>
        <w:t>（</w:t>
      </w:r>
      <w:r>
        <w:rPr>
          <w:rFonts w:asciiTheme="minorEastAsia" w:hAnsiTheme="minorEastAsia" w:eastAsiaTheme="minorEastAsia"/>
        </w:rPr>
        <w:t>不使用工具无法拆卸</w:t>
      </w:r>
      <w:r>
        <w:rPr>
          <w:rFonts w:hint="eastAsia" w:asciiTheme="minorEastAsia" w:hAnsiTheme="minorEastAsia" w:eastAsiaTheme="minorEastAsia"/>
        </w:rPr>
        <w:t>）</w:t>
      </w:r>
      <w:r>
        <w:rPr>
          <w:rFonts w:asciiTheme="minorEastAsia" w:hAnsiTheme="minorEastAsia" w:eastAsiaTheme="minorEastAsia"/>
        </w:rPr>
        <w:t>的防护装置或挡板。</w:t>
      </w:r>
    </w:p>
    <w:p w14:paraId="7FE6B349">
      <w:pPr>
        <w:pStyle w:val="6"/>
        <w:spacing w:line="360" w:lineRule="exact"/>
        <w:rPr>
          <w:rFonts w:ascii="Times New Roman" w:hAnsi="Times New Roman"/>
        </w:rPr>
      </w:pPr>
      <w:r>
        <w:rPr>
          <w:rFonts w:ascii="Times New Roman" w:hAnsi="Times New Roman"/>
        </w:rPr>
        <w:t>4.8.2  发动机散热器水盖应拧紧牢固、可靠，在任何情况下都应避免冷却</w:t>
      </w:r>
      <w:r>
        <w:rPr>
          <w:rFonts w:hint="eastAsia" w:ascii="Times New Roman" w:hAnsi="Times New Roman"/>
        </w:rPr>
        <w:t>液</w:t>
      </w:r>
      <w:r>
        <w:rPr>
          <w:rFonts w:ascii="Times New Roman" w:hAnsi="Times New Roman"/>
        </w:rPr>
        <w:t>流出导致人员烫伤。应有相应的安全标志，并在使用说明书中告诫驾驶操作人员不应在发动机热态下立即打开散热器水盖。</w:t>
      </w:r>
    </w:p>
    <w:p w14:paraId="5D7510F3">
      <w:pPr>
        <w:pStyle w:val="6"/>
        <w:spacing w:line="360" w:lineRule="exact"/>
        <w:rPr>
          <w:rFonts w:ascii="Times New Roman" w:hAnsi="Times New Roman"/>
        </w:rPr>
      </w:pPr>
      <w:r>
        <w:rPr>
          <w:rFonts w:ascii="Times New Roman" w:hAnsi="Times New Roman"/>
        </w:rPr>
        <w:t>4.8.3  对装有蒸发式水冷却发动机的三轮汽车，应有相应的安全标志告诫驾驶操作人员注意被冷却水烫伤。</w:t>
      </w:r>
    </w:p>
    <w:p w14:paraId="317C39A5">
      <w:pPr>
        <w:pStyle w:val="6"/>
        <w:spacing w:before="156" w:beforeLines="50" w:after="156" w:afterLines="50" w:line="360" w:lineRule="exact"/>
        <w:rPr>
          <w:rFonts w:ascii="黑体" w:hAnsi="黑体" w:eastAsia="黑体"/>
        </w:rPr>
      </w:pPr>
      <w:r>
        <w:rPr>
          <w:rFonts w:ascii="黑体" w:hAnsi="黑体" w:eastAsia="黑体"/>
        </w:rPr>
        <w:t>4.9  电气要求</w:t>
      </w:r>
    </w:p>
    <w:p w14:paraId="0B00E68B">
      <w:pPr>
        <w:pStyle w:val="6"/>
        <w:spacing w:before="156" w:beforeLines="50" w:after="156" w:afterLines="50" w:line="360" w:lineRule="exact"/>
        <w:rPr>
          <w:rFonts w:ascii="黑体" w:hAnsi="黑体" w:eastAsia="黑体"/>
        </w:rPr>
      </w:pPr>
      <w:r>
        <w:rPr>
          <w:rFonts w:ascii="黑体" w:hAnsi="黑体" w:eastAsia="黑体"/>
        </w:rPr>
        <w:t>4.9.1  蓄电池</w:t>
      </w:r>
    </w:p>
    <w:p w14:paraId="1EA4287F">
      <w:pPr>
        <w:pStyle w:val="34"/>
        <w:numPr>
          <w:ilvl w:val="0"/>
          <w:numId w:val="0"/>
        </w:numPr>
        <w:spacing w:line="360" w:lineRule="exact"/>
        <w:jc w:val="left"/>
        <w:rPr>
          <w:rFonts w:ascii="Times New Roman" w:eastAsia="宋体"/>
        </w:rPr>
      </w:pPr>
      <w:r>
        <w:rPr>
          <w:rFonts w:ascii="Times New Roman"/>
        </w:rPr>
        <w:t xml:space="preserve">4.9.1.1  </w:t>
      </w:r>
      <w:r>
        <w:rPr>
          <w:rFonts w:ascii="Times New Roman" w:eastAsia="宋体"/>
          <w:szCs w:val="21"/>
        </w:rPr>
        <w:t>蓄电池应能保持常态电压。</w:t>
      </w:r>
      <w:r>
        <w:rPr>
          <w:rFonts w:ascii="Times New Roman" w:eastAsia="宋体"/>
        </w:rPr>
        <w:t>蓄电池应置于在地面上便于维修保养的位置处，应避免蓄电池的电解液及其酸雾对驾驶员产生危害。蓄电池接线端子应采取可靠的绝缘保护措施。</w:t>
      </w:r>
    </w:p>
    <w:p w14:paraId="6E099422">
      <w:pPr>
        <w:pStyle w:val="6"/>
        <w:spacing w:line="360" w:lineRule="exact"/>
        <w:rPr>
          <w:rFonts w:ascii="Times New Roman" w:hAnsi="Times New Roman"/>
        </w:rPr>
      </w:pPr>
      <w:r>
        <w:rPr>
          <w:rFonts w:ascii="Times New Roman" w:hAnsi="Times New Roman"/>
        </w:rPr>
        <w:t>4.9.1.2  蓄电池仓</w:t>
      </w:r>
      <w:r>
        <w:rPr>
          <w:rFonts w:hint="eastAsia" w:ascii="Times New Roman" w:hAnsi="Times New Roman"/>
        </w:rPr>
        <w:t>应</w:t>
      </w:r>
      <w:r>
        <w:rPr>
          <w:rFonts w:ascii="Times New Roman" w:hAnsi="Times New Roman"/>
        </w:rPr>
        <w:t>有开孔。蓄电池在工作位置时，电解液不能渗漏到部件上。</w:t>
      </w:r>
    </w:p>
    <w:p w14:paraId="2771DC82">
      <w:pPr>
        <w:pStyle w:val="6"/>
        <w:spacing w:before="156" w:beforeLines="50" w:after="156" w:afterLines="50" w:line="360" w:lineRule="exact"/>
        <w:rPr>
          <w:rFonts w:ascii="黑体" w:hAnsi="黑体" w:eastAsia="黑体"/>
        </w:rPr>
      </w:pPr>
      <w:r>
        <w:rPr>
          <w:rFonts w:ascii="黑体" w:hAnsi="黑体" w:eastAsia="黑体"/>
        </w:rPr>
        <w:t>4.9.2  导线</w:t>
      </w:r>
    </w:p>
    <w:p w14:paraId="5876A65D">
      <w:pPr>
        <w:pStyle w:val="6"/>
        <w:spacing w:line="360" w:lineRule="exact"/>
        <w:rPr>
          <w:rFonts w:ascii="Times New Roman" w:hAnsi="Times New Roman"/>
        </w:rPr>
      </w:pPr>
      <w:r>
        <w:rPr>
          <w:rFonts w:ascii="Times New Roman" w:hAnsi="Times New Roman"/>
          <w:szCs w:val="21"/>
        </w:rPr>
        <w:t>4.9.2.1  电器导线应具有阻燃性能，所有电器导线</w:t>
      </w:r>
      <w:r>
        <w:rPr>
          <w:rFonts w:ascii="Times New Roman" w:hAnsi="Times New Roman"/>
        </w:rPr>
        <w:t>在可能的地方</w:t>
      </w:r>
      <w:r>
        <w:rPr>
          <w:rFonts w:ascii="Times New Roman" w:hAnsi="Times New Roman"/>
          <w:szCs w:val="21"/>
        </w:rPr>
        <w:t>应捆扎成束、布置整齐、固定卡紧、接头牢固并有绝缘套，</w:t>
      </w:r>
      <w:r>
        <w:rPr>
          <w:rFonts w:ascii="Times New Roman" w:hAnsi="Times New Roman"/>
        </w:rPr>
        <w:t>其任何部位不能接近排气系统或与金属油管、运动部件和锐边接触。可能与导线接触的金属件的锐边应导圆或加防护，导线穿越孔洞时需装设绝缘套管。</w:t>
      </w:r>
    </w:p>
    <w:p w14:paraId="2CDB3900">
      <w:pPr>
        <w:pStyle w:val="6"/>
        <w:spacing w:line="360" w:lineRule="exact"/>
        <w:rPr>
          <w:rFonts w:ascii="Times New Roman" w:hAnsi="Times New Roman"/>
        </w:rPr>
      </w:pPr>
      <w:r>
        <w:rPr>
          <w:rFonts w:ascii="Times New Roman" w:hAnsi="Times New Roman"/>
        </w:rPr>
        <w:t>4.9.2.2  接插件应接插可靠，无松脱。</w:t>
      </w:r>
    </w:p>
    <w:p w14:paraId="272C49D6">
      <w:pPr>
        <w:pStyle w:val="6"/>
        <w:spacing w:line="360" w:lineRule="exact"/>
        <w:rPr>
          <w:rFonts w:ascii="Times New Roman" w:hAnsi="Times New Roman"/>
        </w:rPr>
      </w:pPr>
      <w:r>
        <w:rPr>
          <w:rFonts w:ascii="Times New Roman" w:hAnsi="Times New Roman"/>
        </w:rPr>
        <w:t>4.</w:t>
      </w:r>
      <w:r>
        <w:rPr>
          <w:rFonts w:hint="eastAsia" w:ascii="Times New Roman" w:hAnsi="Times New Roman"/>
        </w:rPr>
        <w:t>9</w:t>
      </w:r>
      <w:r>
        <w:rPr>
          <w:rFonts w:ascii="Times New Roman" w:hAnsi="Times New Roman"/>
        </w:rPr>
        <w:t>.2.3  电气系统所有接线的导电部分不应裸露。</w:t>
      </w:r>
    </w:p>
    <w:p w14:paraId="388671E0">
      <w:pPr>
        <w:pStyle w:val="6"/>
        <w:spacing w:line="360" w:lineRule="exact"/>
        <w:rPr>
          <w:rFonts w:ascii="Times New Roman" w:hAnsi="Times New Roman"/>
        </w:rPr>
      </w:pPr>
      <w:r>
        <w:rPr>
          <w:rFonts w:ascii="Times New Roman" w:hAnsi="Times New Roman"/>
        </w:rPr>
        <w:t>4.</w:t>
      </w:r>
      <w:r>
        <w:rPr>
          <w:rFonts w:hint="eastAsia" w:ascii="Times New Roman" w:hAnsi="Times New Roman"/>
        </w:rPr>
        <w:t>9</w:t>
      </w:r>
      <w:r>
        <w:rPr>
          <w:rFonts w:ascii="Times New Roman" w:hAnsi="Times New Roman"/>
        </w:rPr>
        <w:t>.2.</w:t>
      </w:r>
      <w:r>
        <w:rPr>
          <w:rFonts w:hint="eastAsia" w:ascii="Times New Roman" w:hAnsi="Times New Roman"/>
        </w:rPr>
        <w:t>4</w:t>
      </w:r>
      <w:r>
        <w:rPr>
          <w:rFonts w:ascii="Times New Roman" w:hAnsi="Times New Roman"/>
        </w:rPr>
        <w:t xml:space="preserve">  导线应有足够的截面积以防止过热，且可靠绝缘。从交流发电机到蓄电池、从蓄电池到</w:t>
      </w:r>
      <w:r>
        <w:rPr>
          <w:rFonts w:hint="eastAsia" w:ascii="Times New Roman" w:hAnsi="Times New Roman"/>
        </w:rPr>
        <w:t>电气设备应设置</w:t>
      </w:r>
      <w:r>
        <w:rPr>
          <w:rFonts w:ascii="Times New Roman" w:hAnsi="Times New Roman"/>
        </w:rPr>
        <w:t>保险丝或断路器盒。</w:t>
      </w:r>
    </w:p>
    <w:p w14:paraId="4A11335F">
      <w:pPr>
        <w:pStyle w:val="6"/>
        <w:spacing w:line="360" w:lineRule="exact"/>
        <w:rPr>
          <w:rFonts w:ascii="Times New Roman" w:hAnsi="Times New Roman"/>
        </w:rPr>
      </w:pPr>
      <w:r>
        <w:rPr>
          <w:rFonts w:hint="eastAsia" w:ascii="Times New Roman" w:hAnsi="Times New Roman"/>
        </w:rPr>
        <w:t>4.9.2.5</w:t>
      </w:r>
      <w:r>
        <w:rPr>
          <w:rFonts w:ascii="Times New Roman" w:hAnsi="Times New Roman"/>
        </w:rPr>
        <w:t xml:space="preserve">  布线不</w:t>
      </w:r>
      <w:r>
        <w:rPr>
          <w:rFonts w:hint="eastAsia" w:ascii="Times New Roman" w:hAnsi="Times New Roman"/>
        </w:rPr>
        <w:t>应</w:t>
      </w:r>
      <w:r>
        <w:rPr>
          <w:rFonts w:ascii="Times New Roman" w:hAnsi="Times New Roman"/>
        </w:rPr>
        <w:t>接触毛刺、散热片等，同时应有效防止电线与运动部件的接触，以免损坏布线绝缘。</w:t>
      </w:r>
    </w:p>
    <w:p w14:paraId="3140E075">
      <w:pPr>
        <w:pStyle w:val="6"/>
        <w:spacing w:before="156" w:beforeLines="50" w:after="156" w:afterLines="50" w:line="360" w:lineRule="exact"/>
        <w:rPr>
          <w:rFonts w:ascii="黑体" w:hAnsi="黑体" w:eastAsia="黑体"/>
        </w:rPr>
      </w:pPr>
      <w:r>
        <w:rPr>
          <w:rFonts w:ascii="黑体" w:hAnsi="黑体" w:eastAsia="黑体"/>
        </w:rPr>
        <w:t>4.9.3  过载保护</w:t>
      </w:r>
    </w:p>
    <w:p w14:paraId="0F65A768">
      <w:pPr>
        <w:pStyle w:val="6"/>
        <w:spacing w:line="360" w:lineRule="exact"/>
        <w:ind w:firstLine="420"/>
        <w:rPr>
          <w:rFonts w:ascii="Times New Roman" w:hAnsi="Times New Roman"/>
        </w:rPr>
      </w:pPr>
      <w:r>
        <w:rPr>
          <w:rFonts w:ascii="Times New Roman" w:hAnsi="Times New Roman"/>
        </w:rPr>
        <w:t>除起动器电动机电路外，所有电路在接近蓄电池极柱或起动器导线的非接地线上应装过载保护装置。对于双线制电路，过载保护装置可以装在任一线路上。</w:t>
      </w:r>
    </w:p>
    <w:p w14:paraId="68B4E73B">
      <w:pPr>
        <w:pStyle w:val="6"/>
        <w:spacing w:before="156" w:beforeLines="50" w:after="156" w:afterLines="50" w:line="360" w:lineRule="exact"/>
        <w:rPr>
          <w:rFonts w:ascii="黑体" w:hAnsi="黑体" w:eastAsia="黑体"/>
        </w:rPr>
      </w:pPr>
      <w:r>
        <w:rPr>
          <w:rFonts w:hint="eastAsia" w:ascii="黑体" w:hAnsi="黑体" w:eastAsia="黑体"/>
          <w:lang w:eastAsia="zh-CN"/>
        </w:rPr>
        <w:t>4.10</w:t>
      </w:r>
      <w:r>
        <w:rPr>
          <w:rFonts w:ascii="黑体" w:hAnsi="黑体" w:eastAsia="黑体"/>
        </w:rPr>
        <w:t xml:space="preserve">  车速和车速表</w:t>
      </w:r>
    </w:p>
    <w:p w14:paraId="10A93A1B">
      <w:pPr>
        <w:pStyle w:val="52"/>
        <w:spacing w:line="360" w:lineRule="exact"/>
        <w:rPr>
          <w:rFonts w:eastAsia="宋体"/>
          <w:szCs w:val="21"/>
        </w:rPr>
      </w:pPr>
      <w:r>
        <w:rPr>
          <w:rFonts w:hint="eastAsia"/>
          <w:lang w:eastAsia="zh-CN"/>
        </w:rPr>
        <w:t>4.10</w:t>
      </w:r>
      <w:r>
        <w:t xml:space="preserve">.1  </w:t>
      </w:r>
      <w:r>
        <w:rPr>
          <w:rFonts w:eastAsia="宋体"/>
          <w:szCs w:val="21"/>
        </w:rPr>
        <w:t>三轮汽车最高设计车速应不大于50 km/h。</w:t>
      </w:r>
    </w:p>
    <w:p w14:paraId="26FB6F79">
      <w:pPr>
        <w:pStyle w:val="52"/>
        <w:spacing w:line="360" w:lineRule="exact"/>
        <w:rPr>
          <w:rFonts w:eastAsia="宋体"/>
          <w:szCs w:val="21"/>
        </w:rPr>
      </w:pPr>
      <w:r>
        <w:rPr>
          <w:rFonts w:hint="eastAsia"/>
          <w:lang w:eastAsia="zh-CN"/>
        </w:rPr>
        <w:t>4.10</w:t>
      </w:r>
      <w:r>
        <w:t xml:space="preserve">.2  </w:t>
      </w:r>
      <w:r>
        <w:rPr>
          <w:rFonts w:eastAsia="宋体"/>
          <w:szCs w:val="21"/>
        </w:rPr>
        <w:t>三轮汽车应在设计及技术特性上确保其实际最大行驶速度在满载状态下不会超过其最高设计车速，在空载状态下不应超过其最高设计车速的110 %。</w:t>
      </w:r>
    </w:p>
    <w:p w14:paraId="756626DE">
      <w:pPr>
        <w:pStyle w:val="30"/>
        <w:spacing w:line="360" w:lineRule="exact"/>
        <w:ind w:firstLine="360"/>
        <w:rPr>
          <w:rFonts w:ascii="Times New Roman"/>
          <w:sz w:val="18"/>
          <w:szCs w:val="18"/>
        </w:rPr>
      </w:pPr>
      <w:r>
        <w:rPr>
          <w:rFonts w:ascii="黑体" w:hAnsi="黑体" w:eastAsia="黑体"/>
          <w:sz w:val="18"/>
          <w:szCs w:val="18"/>
        </w:rPr>
        <w:t>注：</w:t>
      </w:r>
      <w:r>
        <w:rPr>
          <w:rFonts w:ascii="Times New Roman"/>
          <w:sz w:val="18"/>
          <w:szCs w:val="18"/>
        </w:rPr>
        <w:t>实际最大行驶速度是指三轮汽车在平坦良好路面行驶时能达到的最大速度。</w:t>
      </w:r>
    </w:p>
    <w:p w14:paraId="176FA0B5">
      <w:pPr>
        <w:pStyle w:val="30"/>
        <w:spacing w:line="360" w:lineRule="exact"/>
        <w:ind w:firstLine="0" w:firstLineChars="0"/>
        <w:rPr>
          <w:rFonts w:ascii="Times New Roman"/>
          <w:kern w:val="2"/>
          <w:szCs w:val="21"/>
        </w:rPr>
      </w:pPr>
      <w:r>
        <w:rPr>
          <w:rFonts w:hint="eastAsia" w:ascii="Times New Roman"/>
          <w:kern w:val="2"/>
          <w:szCs w:val="21"/>
          <w:lang w:eastAsia="zh-CN"/>
        </w:rPr>
        <w:t>4.10</w:t>
      </w:r>
      <w:r>
        <w:rPr>
          <w:rFonts w:ascii="Times New Roman"/>
          <w:kern w:val="2"/>
          <w:szCs w:val="21"/>
        </w:rPr>
        <w:t>.3  安装有车速表</w:t>
      </w:r>
      <w:r>
        <w:rPr>
          <w:rFonts w:hint="eastAsia" w:ascii="Times New Roman"/>
          <w:kern w:val="2"/>
          <w:szCs w:val="21"/>
        </w:rPr>
        <w:t>的</w:t>
      </w:r>
      <w:r>
        <w:rPr>
          <w:rFonts w:ascii="Times New Roman"/>
          <w:kern w:val="2"/>
          <w:szCs w:val="21"/>
        </w:rPr>
        <w:t>三轮汽车，则车速表指示车速</w:t>
      </w:r>
      <w:r>
        <w:rPr>
          <w:rFonts w:ascii="Times New Roman"/>
          <w:i/>
          <w:kern w:val="2"/>
          <w:szCs w:val="21"/>
        </w:rPr>
        <w:t>V</w:t>
      </w:r>
      <w:r>
        <w:rPr>
          <w:rFonts w:ascii="Times New Roman"/>
          <w:kern w:val="2"/>
          <w:szCs w:val="21"/>
          <w:vertAlign w:val="subscript"/>
        </w:rPr>
        <w:t>1</w:t>
      </w:r>
      <w:r>
        <w:rPr>
          <w:rFonts w:ascii="Times New Roman"/>
          <w:kern w:val="2"/>
          <w:szCs w:val="21"/>
        </w:rPr>
        <w:t>与实际车速</w:t>
      </w:r>
      <w:r>
        <w:rPr>
          <w:rFonts w:ascii="Times New Roman"/>
          <w:i/>
          <w:kern w:val="2"/>
          <w:szCs w:val="21"/>
        </w:rPr>
        <w:t>V</w:t>
      </w:r>
      <w:r>
        <w:rPr>
          <w:rFonts w:ascii="Times New Roman"/>
          <w:kern w:val="2"/>
          <w:szCs w:val="21"/>
          <w:vertAlign w:val="subscript"/>
        </w:rPr>
        <w:t>2</w:t>
      </w:r>
      <w:r>
        <w:rPr>
          <w:rFonts w:ascii="Times New Roman"/>
          <w:kern w:val="2"/>
          <w:szCs w:val="21"/>
        </w:rPr>
        <w:t xml:space="preserve"> 之间应符合公式（5）的要求。</w:t>
      </w:r>
    </w:p>
    <w:p w14:paraId="48E01356">
      <w:pPr>
        <w:pStyle w:val="30"/>
        <w:spacing w:line="360" w:lineRule="exact"/>
        <w:ind w:firstLine="0" w:firstLineChars="0"/>
        <w:jc w:val="center"/>
        <w:rPr>
          <w:rFonts w:ascii="Times New Roman"/>
        </w:rPr>
      </w:pPr>
    </w:p>
    <w:p w14:paraId="2420AA96">
      <w:pPr>
        <w:pStyle w:val="30"/>
        <w:ind w:firstLine="0" w:firstLineChars="0"/>
        <w:jc w:val="center"/>
        <w:rPr>
          <w:rFonts w:ascii="Times New Roman"/>
        </w:rPr>
      </w:pPr>
      <w:r>
        <w:rPr>
          <w:rFonts w:hint="eastAsia" w:ascii="Times New Roman"/>
        </w:rPr>
        <w:t xml:space="preserve">                                 </w:t>
      </w:r>
      <m:oMath>
        <m:r>
          <m:rPr>
            <m:sty m:val="p"/>
          </m:rPr>
          <w:rPr>
            <w:rFonts w:ascii="Cambria Math" w:hAnsi="Cambria Math"/>
          </w:rPr>
          <m:t>0≤</m:t>
        </m:r>
        <m:sSub>
          <m:sSubPr>
            <m:ctrlPr>
              <w:rPr>
                <w:rFonts w:ascii="Cambria Math" w:hAnsi="Cambria Math"/>
              </w:rPr>
            </m:ctrlPr>
          </m:sSubPr>
          <m:e>
            <m:r>
              <m:rPr>
                <m:sty m:val="p"/>
              </m:rPr>
              <w:rPr>
                <w:rFonts w:ascii="Cambria Math" w:hAnsi="Cambria Math"/>
              </w:rPr>
              <m:t>V</m:t>
            </m:r>
            <m:ctrlPr>
              <w:rPr>
                <w:rFonts w:ascii="Cambria Math" w:hAnsi="Cambria Math"/>
              </w:rPr>
            </m:ctrlPr>
          </m:e>
          <m:sub>
            <m:r>
              <m:rPr>
                <m:sty m:val="p"/>
              </m:rPr>
              <w:rPr>
                <w:rFonts w:ascii="Cambria Math" w:hAnsi="Cambria Math"/>
              </w:rPr>
              <m:t>1</m:t>
            </m:r>
            <m:ctrlPr>
              <w:rPr>
                <w:rFonts w:ascii="Cambria Math" w:hAnsi="Cambria Math"/>
              </w:rPr>
            </m:ctrlPr>
          </m:sub>
        </m:sSub>
        <m:r>
          <m:rPr>
            <m:sty m:val="p"/>
          </m:rPr>
          <w:rPr>
            <w:rFonts w:ascii="Cambria Math" w:hAnsi="Cambria Math"/>
            <w:kern w:val="2"/>
            <w:szCs w:val="21"/>
          </w:rPr>
          <m:t>−</m:t>
        </m:r>
        <m:sSub>
          <m:sSubPr>
            <m:ctrlPr>
              <w:rPr>
                <w:rFonts w:ascii="Cambria Math" w:hAnsi="Cambria Math"/>
                <w:kern w:val="2"/>
                <w:szCs w:val="21"/>
              </w:rPr>
            </m:ctrlPr>
          </m:sSubPr>
          <m:e>
            <m:r>
              <m:rPr>
                <m:sty m:val="p"/>
              </m:rPr>
              <w:rPr>
                <w:rFonts w:ascii="Cambria Math" w:hAnsi="Cambria Math"/>
                <w:kern w:val="2"/>
                <w:szCs w:val="21"/>
              </w:rPr>
              <m:t>V</m:t>
            </m:r>
            <m:ctrlPr>
              <w:rPr>
                <w:rFonts w:ascii="Cambria Math" w:hAnsi="Cambria Math"/>
                <w:kern w:val="2"/>
                <w:szCs w:val="21"/>
              </w:rPr>
            </m:ctrlPr>
          </m:e>
          <m:sub>
            <m:r>
              <m:rPr>
                <m:sty m:val="p"/>
              </m:rPr>
              <w:rPr>
                <w:rFonts w:ascii="Cambria Math" w:hAnsi="Cambria Math"/>
                <w:kern w:val="2"/>
                <w:szCs w:val="21"/>
              </w:rPr>
              <m:t>2</m:t>
            </m:r>
            <m:ctrlPr>
              <w:rPr>
                <w:rFonts w:ascii="Cambria Math" w:hAnsi="Cambria Math"/>
                <w:kern w:val="2"/>
                <w:szCs w:val="21"/>
              </w:rPr>
            </m:ctrlP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V</m:t>
                </m:r>
                <m:ctrlPr>
                  <w:rPr>
                    <w:rFonts w:ascii="Cambria Math" w:hAnsi="Cambria Math"/>
                  </w:rPr>
                </m:ctrlPr>
              </m:e>
              <m:sub>
                <m:r>
                  <m:rPr>
                    <m:sty m:val="p"/>
                  </m:rPr>
                  <w:rPr>
                    <w:rFonts w:ascii="Cambria Math" w:hAnsi="Cambria Math"/>
                  </w:rPr>
                  <m:t>2</m:t>
                </m:r>
                <m:ctrlPr>
                  <w:rPr>
                    <w:rFonts w:ascii="Cambria Math" w:hAnsi="Cambria Math"/>
                  </w:rPr>
                </m:ctrlPr>
              </m:sub>
            </m:sSub>
            <m:ctrlPr>
              <w:rPr>
                <w:rFonts w:ascii="Cambria Math" w:hAnsi="Cambria Math"/>
              </w:rPr>
            </m:ctrlPr>
          </m:num>
          <m:den>
            <m:r>
              <m:rPr>
                <m:sty m:val="p"/>
              </m:rPr>
              <w:rPr>
                <w:rFonts w:ascii="Cambria Math" w:hAnsi="Cambria Math"/>
              </w:rPr>
              <m:t>10</m:t>
            </m:r>
            <m:ctrlPr>
              <w:rPr>
                <w:rFonts w:ascii="Cambria Math" w:hAnsi="Cambria Math"/>
              </w:rPr>
            </m:ctrlPr>
          </m:den>
        </m:f>
        <m:r>
          <m:rPr>
            <m:sty m:val="p"/>
          </m:rPr>
          <w:rPr>
            <w:rFonts w:ascii="Cambria Math" w:hAnsi="Cambria Math"/>
          </w:rPr>
          <m:t xml:space="preserve">+4 </m:t>
        </m:r>
      </m:oMath>
      <w:r>
        <w:rPr>
          <w:rFonts w:ascii="Times New Roman"/>
        </w:rPr>
        <w:t>…………………………………………（5）</w:t>
      </w:r>
    </w:p>
    <w:p w14:paraId="60DEFA21">
      <w:pPr>
        <w:pStyle w:val="30"/>
        <w:spacing w:line="360" w:lineRule="exact"/>
        <w:ind w:firstLine="420"/>
        <w:rPr>
          <w:rFonts w:ascii="Times New Roman"/>
        </w:rPr>
      </w:pPr>
      <w:r>
        <w:rPr>
          <w:rFonts w:ascii="Times New Roman"/>
        </w:rPr>
        <w:t>式中：</w:t>
      </w:r>
    </w:p>
    <w:p w14:paraId="7A75E69F">
      <w:pPr>
        <w:pStyle w:val="30"/>
        <w:spacing w:line="360" w:lineRule="exact"/>
        <w:ind w:firstLine="0" w:firstLineChars="0"/>
        <w:rPr>
          <w:rFonts w:ascii="Times New Roman"/>
          <w:kern w:val="2"/>
          <w:szCs w:val="21"/>
        </w:rPr>
      </w:pPr>
      <w:r>
        <w:rPr>
          <w:rFonts w:ascii="Times New Roman"/>
        </w:rPr>
        <w:t xml:space="preserve">   </w:t>
      </w:r>
      <w:r>
        <w:rPr>
          <w:rFonts w:hint="eastAsia" w:ascii="Times New Roman"/>
        </w:rPr>
        <w:t xml:space="preserve"> </w:t>
      </w:r>
      <w:r>
        <w:rPr>
          <w:rFonts w:ascii="Times New Roman"/>
          <w:i/>
          <w:kern w:val="2"/>
          <w:szCs w:val="21"/>
        </w:rPr>
        <w:t>V</w:t>
      </w:r>
      <w:r>
        <w:rPr>
          <w:rFonts w:ascii="Times New Roman"/>
          <w:kern w:val="2"/>
          <w:szCs w:val="21"/>
          <w:vertAlign w:val="subscript"/>
        </w:rPr>
        <w:t>1</w:t>
      </w:r>
      <w:r>
        <w:rPr>
          <w:rFonts w:ascii="Times New Roman"/>
          <w:kern w:val="2"/>
          <w:szCs w:val="21"/>
        </w:rPr>
        <w:t>——车速表指示车速，单位为千米每小时（km/h）；</w:t>
      </w:r>
    </w:p>
    <w:p w14:paraId="6E537EFC">
      <w:pPr>
        <w:pStyle w:val="30"/>
        <w:spacing w:line="360" w:lineRule="exact"/>
        <w:ind w:firstLine="0" w:firstLineChars="0"/>
        <w:rPr>
          <w:rFonts w:ascii="Times New Roman"/>
          <w:kern w:val="2"/>
          <w:szCs w:val="21"/>
        </w:rPr>
      </w:pPr>
      <w:r>
        <w:rPr>
          <w:rFonts w:ascii="Times New Roman"/>
          <w:kern w:val="2"/>
          <w:szCs w:val="21"/>
        </w:rPr>
        <w:t xml:space="preserve">   </w:t>
      </w:r>
      <w:r>
        <w:rPr>
          <w:rFonts w:hint="eastAsia" w:ascii="Times New Roman"/>
          <w:kern w:val="2"/>
          <w:szCs w:val="21"/>
        </w:rPr>
        <w:t xml:space="preserve"> </w:t>
      </w:r>
      <w:r>
        <w:rPr>
          <w:rFonts w:ascii="Times New Roman"/>
          <w:i/>
          <w:kern w:val="2"/>
          <w:szCs w:val="21"/>
        </w:rPr>
        <w:t>V</w:t>
      </w:r>
      <w:r>
        <w:rPr>
          <w:rFonts w:ascii="Times New Roman"/>
          <w:kern w:val="2"/>
          <w:szCs w:val="21"/>
          <w:vertAlign w:val="subscript"/>
        </w:rPr>
        <w:t>2</w:t>
      </w:r>
      <w:r>
        <w:rPr>
          <w:rFonts w:ascii="Times New Roman"/>
          <w:kern w:val="2"/>
          <w:szCs w:val="21"/>
        </w:rPr>
        <w:t>——实际车速，单位为千米每小时（km/h）。</w:t>
      </w:r>
    </w:p>
    <w:p w14:paraId="36F6E5FA">
      <w:pPr>
        <w:pStyle w:val="6"/>
        <w:spacing w:before="156" w:beforeLines="50" w:after="156" w:afterLines="50" w:line="360" w:lineRule="exact"/>
        <w:rPr>
          <w:rFonts w:ascii="黑体" w:hAnsi="黑体" w:eastAsia="黑体"/>
        </w:rPr>
      </w:pPr>
      <w:r>
        <w:rPr>
          <w:rFonts w:ascii="黑体" w:hAnsi="黑体" w:eastAsia="黑体"/>
        </w:rPr>
        <w:t>4.1</w:t>
      </w:r>
      <w:r>
        <w:rPr>
          <w:rFonts w:hint="eastAsia" w:ascii="黑体" w:hAnsi="黑体" w:eastAsia="黑体"/>
          <w:lang w:val="en-US" w:eastAsia="zh-CN"/>
        </w:rPr>
        <w:t>1</w:t>
      </w:r>
      <w:r>
        <w:rPr>
          <w:rFonts w:ascii="黑体" w:hAnsi="黑体" w:eastAsia="黑体"/>
        </w:rPr>
        <w:t xml:space="preserve">  最大设计总质量和外廓尺寸</w:t>
      </w:r>
    </w:p>
    <w:p w14:paraId="306613E3">
      <w:pPr>
        <w:pStyle w:val="30"/>
        <w:spacing w:line="360" w:lineRule="exact"/>
        <w:ind w:firstLine="420"/>
        <w:rPr>
          <w:rFonts w:ascii="Times New Roman"/>
          <w:kern w:val="2"/>
          <w:szCs w:val="21"/>
        </w:rPr>
      </w:pPr>
      <w:r>
        <w:rPr>
          <w:rFonts w:ascii="Times New Roman"/>
          <w:kern w:val="2"/>
          <w:szCs w:val="21"/>
        </w:rPr>
        <w:t>三轮汽车最大设计总质量和外廓尺寸要求应符合GB 1589的规定。尺寸相关参数的误差不</w:t>
      </w:r>
      <w:r>
        <w:rPr>
          <w:rFonts w:hint="eastAsia" w:ascii="Times New Roman"/>
          <w:kern w:val="2"/>
          <w:szCs w:val="21"/>
        </w:rPr>
        <w:t>应</w:t>
      </w:r>
      <w:r>
        <w:rPr>
          <w:rFonts w:ascii="Times New Roman"/>
          <w:kern w:val="2"/>
          <w:szCs w:val="21"/>
        </w:rPr>
        <w:t>超过</w:t>
      </w:r>
      <w:r>
        <w:rPr>
          <w:rFonts w:hint="eastAsia" w:hAnsi="宋体"/>
          <w:kern w:val="2"/>
          <w:szCs w:val="21"/>
        </w:rPr>
        <w:t>±</w:t>
      </w:r>
      <w:r>
        <w:rPr>
          <w:rFonts w:ascii="Times New Roman"/>
          <w:kern w:val="2"/>
          <w:szCs w:val="21"/>
        </w:rPr>
        <w:t>3%，质量相关参数的误差不</w:t>
      </w:r>
      <w:r>
        <w:rPr>
          <w:rFonts w:hint="eastAsia" w:ascii="Times New Roman"/>
          <w:kern w:val="2"/>
          <w:szCs w:val="21"/>
        </w:rPr>
        <w:t>应</w:t>
      </w:r>
      <w:r>
        <w:rPr>
          <w:rFonts w:ascii="Times New Roman"/>
          <w:kern w:val="2"/>
          <w:szCs w:val="21"/>
        </w:rPr>
        <w:t>超过</w:t>
      </w:r>
      <w:r>
        <w:rPr>
          <w:rFonts w:hint="eastAsia" w:hAnsi="宋体"/>
          <w:kern w:val="2"/>
          <w:szCs w:val="21"/>
        </w:rPr>
        <w:t>±</w:t>
      </w:r>
      <w:r>
        <w:rPr>
          <w:rFonts w:ascii="Times New Roman"/>
          <w:kern w:val="2"/>
          <w:szCs w:val="21"/>
        </w:rPr>
        <w:t>5%。</w:t>
      </w:r>
    </w:p>
    <w:p w14:paraId="623F15AA">
      <w:pPr>
        <w:pStyle w:val="6"/>
        <w:spacing w:before="156" w:beforeLines="50" w:after="156" w:afterLines="50" w:line="360" w:lineRule="exact"/>
        <w:rPr>
          <w:rFonts w:ascii="黑体" w:hAnsi="黑体" w:eastAsia="黑体"/>
        </w:rPr>
      </w:pPr>
      <w:r>
        <w:rPr>
          <w:rFonts w:ascii="黑体" w:hAnsi="黑体" w:eastAsia="黑体"/>
        </w:rPr>
        <w:t>4.1</w:t>
      </w:r>
      <w:r>
        <w:rPr>
          <w:rFonts w:hint="eastAsia" w:ascii="黑体" w:hAnsi="黑体" w:eastAsia="黑体"/>
          <w:lang w:val="en-US" w:eastAsia="zh-CN"/>
        </w:rPr>
        <w:t>2</w:t>
      </w:r>
      <w:r>
        <w:rPr>
          <w:rFonts w:ascii="黑体" w:hAnsi="黑体" w:eastAsia="黑体"/>
        </w:rPr>
        <w:t xml:space="preserve">  噪声</w:t>
      </w:r>
    </w:p>
    <w:p w14:paraId="369A26F9">
      <w:pPr>
        <w:pStyle w:val="6"/>
        <w:spacing w:line="360" w:lineRule="exact"/>
        <w:ind w:firstLine="420"/>
        <w:rPr>
          <w:rFonts w:ascii="Times New Roman" w:hAnsi="Times New Roman"/>
        </w:rPr>
      </w:pPr>
      <w:r>
        <w:rPr>
          <w:rFonts w:ascii="Times New Roman" w:hAnsi="Times New Roman"/>
        </w:rPr>
        <w:t>三轮汽车驾驶员耳位噪声</w:t>
      </w:r>
      <w:r>
        <w:rPr>
          <w:rFonts w:hint="eastAsia" w:ascii="Times New Roman" w:hAnsi="Times New Roman"/>
        </w:rPr>
        <w:t>（型式核准）不</w:t>
      </w:r>
      <w:r>
        <w:rPr>
          <w:rFonts w:ascii="Times New Roman" w:hAnsi="Times New Roman"/>
        </w:rPr>
        <w:t>应</w:t>
      </w:r>
      <w:r>
        <w:rPr>
          <w:rFonts w:hint="eastAsia" w:ascii="Times New Roman" w:hAnsi="Times New Roman"/>
        </w:rPr>
        <w:t>大</w:t>
      </w:r>
      <w:r>
        <w:rPr>
          <w:rFonts w:ascii="Times New Roman" w:hAnsi="Times New Roman"/>
        </w:rPr>
        <w:t>于</w:t>
      </w:r>
      <w:r>
        <w:rPr>
          <w:rFonts w:hint="eastAsia" w:ascii="Times New Roman" w:hAnsi="Times New Roman"/>
        </w:rPr>
        <w:t>92</w:t>
      </w:r>
      <w:r>
        <w:rPr>
          <w:rFonts w:ascii="Times New Roman" w:hAnsi="Times New Roman"/>
        </w:rPr>
        <w:t xml:space="preserve"> dB（A），加速行驶噪声</w:t>
      </w:r>
      <w:r>
        <w:rPr>
          <w:rFonts w:hint="eastAsia" w:ascii="Times New Roman" w:hAnsi="Times New Roman"/>
        </w:rPr>
        <w:t>（型式核准）不</w:t>
      </w:r>
      <w:r>
        <w:rPr>
          <w:rFonts w:ascii="Times New Roman" w:hAnsi="Times New Roman"/>
        </w:rPr>
        <w:t>应</w:t>
      </w:r>
      <w:r>
        <w:rPr>
          <w:rFonts w:hint="eastAsia" w:ascii="Times New Roman" w:hAnsi="Times New Roman"/>
        </w:rPr>
        <w:t>大</w:t>
      </w:r>
      <w:r>
        <w:rPr>
          <w:rFonts w:ascii="Times New Roman" w:hAnsi="Times New Roman"/>
        </w:rPr>
        <w:t>于82 dB（A）。</w:t>
      </w:r>
    </w:p>
    <w:p w14:paraId="15E76029">
      <w:pPr>
        <w:pStyle w:val="6"/>
        <w:spacing w:before="156" w:beforeLines="50" w:after="156" w:afterLines="50" w:line="360" w:lineRule="exact"/>
        <w:rPr>
          <w:rFonts w:ascii="黑体" w:hAnsi="黑体" w:eastAsia="黑体"/>
        </w:rPr>
      </w:pPr>
      <w:r>
        <w:rPr>
          <w:rFonts w:ascii="黑体" w:hAnsi="黑体" w:eastAsia="黑体"/>
        </w:rPr>
        <w:t>4.1</w:t>
      </w:r>
      <w:r>
        <w:rPr>
          <w:rFonts w:hint="eastAsia" w:ascii="黑体" w:hAnsi="黑体" w:eastAsia="黑体"/>
          <w:lang w:val="en-US" w:eastAsia="zh-CN"/>
        </w:rPr>
        <w:t>3</w:t>
      </w:r>
      <w:r>
        <w:rPr>
          <w:rFonts w:ascii="黑体" w:hAnsi="黑体" w:eastAsia="黑体"/>
        </w:rPr>
        <w:t xml:space="preserve">  排气管和排气污染物排放</w:t>
      </w:r>
    </w:p>
    <w:p w14:paraId="07BB9DEB">
      <w:pPr>
        <w:pStyle w:val="6"/>
        <w:spacing w:line="360" w:lineRule="exact"/>
        <w:rPr>
          <w:rFonts w:ascii="Times New Roman" w:hAnsi="Times New Roman"/>
        </w:rPr>
      </w:pPr>
      <w:r>
        <w:rPr>
          <w:rFonts w:ascii="Times New Roman" w:hAnsi="Times New Roman" w:eastAsia="方正书宋简体"/>
        </w:rPr>
        <w:t>4.1</w:t>
      </w:r>
      <w:r>
        <w:rPr>
          <w:rFonts w:hint="eastAsia" w:ascii="Times New Roman" w:hAnsi="Times New Roman" w:eastAsia="方正书宋简体"/>
          <w:lang w:val="en-US" w:eastAsia="zh-CN"/>
        </w:rPr>
        <w:t>3</w:t>
      </w:r>
      <w:r>
        <w:rPr>
          <w:rFonts w:ascii="Times New Roman" w:hAnsi="Times New Roman" w:eastAsia="方正书宋简体"/>
        </w:rPr>
        <w:t xml:space="preserve">.1  </w:t>
      </w:r>
      <w:r>
        <w:rPr>
          <w:rFonts w:ascii="Times New Roman" w:hAnsi="Times New Roman"/>
        </w:rPr>
        <w:t>三轮汽车发动机的排气管的位置和方向应合理配置，不应指向车身右侧（如受结构限制排气管口应偏向右侧时，排气管口气流方向与三轮汽车纵向中心面的夹角</w:t>
      </w:r>
      <w:r>
        <w:rPr>
          <w:rFonts w:hint="eastAsia" w:ascii="Times New Roman" w:hAnsi="Times New Roman"/>
        </w:rPr>
        <w:t>不</w:t>
      </w:r>
      <w:r>
        <w:rPr>
          <w:rFonts w:ascii="Times New Roman" w:hAnsi="Times New Roman"/>
        </w:rPr>
        <w:t>应</w:t>
      </w:r>
      <w:r>
        <w:rPr>
          <w:rFonts w:hint="eastAsia" w:ascii="Times New Roman" w:hAnsi="Times New Roman"/>
        </w:rPr>
        <w:t>大</w:t>
      </w:r>
      <w:r>
        <w:rPr>
          <w:rFonts w:ascii="Times New Roman" w:hAnsi="Times New Roman"/>
        </w:rPr>
        <w:t>于 15°），且若排气管口朝下则其气流方向与水平面的夹角</w:t>
      </w:r>
      <w:r>
        <w:rPr>
          <w:rFonts w:hint="eastAsia" w:ascii="Times New Roman" w:hAnsi="Times New Roman"/>
        </w:rPr>
        <w:t>不</w:t>
      </w:r>
      <w:r>
        <w:rPr>
          <w:rFonts w:ascii="Times New Roman" w:hAnsi="Times New Roman"/>
        </w:rPr>
        <w:t>应</w:t>
      </w:r>
      <w:r>
        <w:rPr>
          <w:rFonts w:hint="eastAsia" w:ascii="Times New Roman" w:hAnsi="Times New Roman"/>
        </w:rPr>
        <w:t>大</w:t>
      </w:r>
      <w:r>
        <w:rPr>
          <w:rFonts w:ascii="Times New Roman" w:hAnsi="Times New Roman"/>
        </w:rPr>
        <w:t>于 45°。</w:t>
      </w:r>
    </w:p>
    <w:p w14:paraId="4DD88338">
      <w:pPr>
        <w:pStyle w:val="6"/>
        <w:spacing w:line="360" w:lineRule="exact"/>
        <w:rPr>
          <w:rFonts w:ascii="Times New Roman" w:hAnsi="Times New Roman"/>
        </w:rPr>
      </w:pPr>
      <w:r>
        <w:rPr>
          <w:rFonts w:ascii="Times New Roman" w:hAnsi="Times New Roman"/>
        </w:rPr>
        <w:t>4.1</w:t>
      </w:r>
      <w:r>
        <w:rPr>
          <w:rFonts w:hint="eastAsia" w:ascii="Times New Roman" w:hAnsi="Times New Roman"/>
          <w:lang w:val="en-US" w:eastAsia="zh-CN"/>
        </w:rPr>
        <w:t>3</w:t>
      </w:r>
      <w:r>
        <w:rPr>
          <w:rFonts w:ascii="Times New Roman" w:hAnsi="Times New Roman"/>
        </w:rPr>
        <w:t>.2  三轮汽车自由加速排气烟度</w:t>
      </w:r>
      <w:r>
        <w:rPr>
          <w:rFonts w:hint="eastAsia" w:ascii="Times New Roman" w:hAnsi="Times New Roman"/>
        </w:rPr>
        <w:t>光吸收系数或</w:t>
      </w:r>
      <w:r>
        <w:rPr>
          <w:rFonts w:ascii="Times New Roman" w:hAnsi="Times New Roman"/>
        </w:rPr>
        <w:t>林格曼黑度级数</w:t>
      </w:r>
      <w:r>
        <w:rPr>
          <w:rFonts w:hint="eastAsia" w:ascii="Times New Roman" w:hAnsi="Times New Roman"/>
        </w:rPr>
        <w:t>限值</w:t>
      </w:r>
      <w:r>
        <w:rPr>
          <w:rFonts w:ascii="Times New Roman" w:hAnsi="Times New Roman"/>
        </w:rPr>
        <w:t>应符合</w:t>
      </w:r>
      <w:r>
        <w:rPr>
          <w:rFonts w:hint="eastAsia" w:ascii="Times New Roman" w:hAnsi="Times New Roman"/>
          <w:szCs w:val="21"/>
        </w:rPr>
        <w:t>GB 36886</w:t>
      </w:r>
      <w:r>
        <w:rPr>
          <w:rFonts w:ascii="Times New Roman" w:hAnsi="Times New Roman"/>
        </w:rPr>
        <w:t>的规定。</w:t>
      </w:r>
    </w:p>
    <w:p w14:paraId="54CA9375">
      <w:pPr>
        <w:pStyle w:val="6"/>
        <w:spacing w:line="360" w:lineRule="exact"/>
        <w:rPr>
          <w:rFonts w:ascii="Times New Roman" w:hAnsi="Times New Roman"/>
        </w:rPr>
      </w:pPr>
      <w:r>
        <w:rPr>
          <w:rFonts w:ascii="Times New Roman" w:hAnsi="Times New Roman"/>
        </w:rPr>
        <w:t>4.1</w:t>
      </w:r>
      <w:r>
        <w:rPr>
          <w:rFonts w:hint="eastAsia" w:ascii="Times New Roman" w:hAnsi="Times New Roman"/>
          <w:lang w:val="en-US" w:eastAsia="zh-CN"/>
        </w:rPr>
        <w:t>3</w:t>
      </w:r>
      <w:r>
        <w:rPr>
          <w:rFonts w:ascii="Times New Roman" w:hAnsi="Times New Roman"/>
        </w:rPr>
        <w:t>.3  三轮汽车用柴油机排气污染物排放限值应符合GB 20891的规定。</w:t>
      </w:r>
    </w:p>
    <w:p w14:paraId="2B28BD93">
      <w:pPr>
        <w:pStyle w:val="6"/>
        <w:spacing w:before="156" w:beforeLines="50" w:after="156" w:afterLines="50" w:line="360" w:lineRule="exact"/>
        <w:rPr>
          <w:rFonts w:hint="eastAsia" w:ascii="黑体" w:hAnsi="黑体" w:eastAsia="黑体"/>
          <w:lang w:val="en-US" w:eastAsia="zh-CN"/>
        </w:rPr>
      </w:pPr>
      <w:r>
        <w:rPr>
          <w:rFonts w:hint="eastAsia" w:ascii="黑体" w:hAnsi="黑体" w:eastAsia="黑体"/>
          <w:lang w:val="en-US" w:eastAsia="zh-CN"/>
        </w:rPr>
        <w:t>4.14  燃料消耗量</w:t>
      </w:r>
    </w:p>
    <w:p w14:paraId="314DE4C4">
      <w:pPr>
        <w:pStyle w:val="6"/>
        <w:spacing w:before="156" w:beforeLines="50" w:after="156" w:afterLines="50" w:line="360" w:lineRule="exact"/>
        <w:rPr>
          <w:rFonts w:hint="default" w:ascii="黑体" w:hAnsi="黑体" w:eastAsia="黑体"/>
          <w:lang w:val="en-US" w:eastAsia="zh-CN"/>
        </w:rPr>
      </w:pPr>
      <w:r>
        <w:rPr>
          <w:rFonts w:hint="eastAsia" w:ascii="黑体" w:hAnsi="黑体" w:eastAsia="黑体"/>
          <w:lang w:val="en-US" w:eastAsia="zh-CN"/>
        </w:rPr>
        <w:t xml:space="preserve">    </w:t>
      </w:r>
      <w:r>
        <w:rPr>
          <w:rFonts w:hint="eastAsia" w:ascii="Times New Roman" w:hAnsi="Times New Roman"/>
          <w:lang w:val="en-US" w:eastAsia="zh-CN"/>
        </w:rPr>
        <w:t>安装柴油发动机的</w:t>
      </w:r>
      <w:r>
        <w:rPr>
          <w:rFonts w:hint="eastAsia" w:ascii="Times New Roman" w:hAnsi="Times New Roman"/>
          <w:lang w:val="en-US" w:eastAsia="zh-CN"/>
        </w:rPr>
        <w:t>三轮汽车燃料消耗量限值应符合GB 21377的规定。</w:t>
      </w:r>
    </w:p>
    <w:p w14:paraId="65247161">
      <w:pPr>
        <w:pStyle w:val="32"/>
        <w:numPr>
          <w:ilvl w:val="0"/>
          <w:numId w:val="0"/>
        </w:numPr>
        <w:spacing w:before="312" w:beforeLines="100" w:after="312" w:afterLines="100" w:line="360" w:lineRule="exact"/>
        <w:rPr>
          <w:rFonts w:hAnsi="黑体"/>
        </w:rPr>
      </w:pPr>
      <w:r>
        <w:rPr>
          <w:rFonts w:hAnsi="黑体"/>
        </w:rPr>
        <w:t>5  使用信息</w:t>
      </w:r>
    </w:p>
    <w:p w14:paraId="29E8E31A">
      <w:pPr>
        <w:pStyle w:val="6"/>
        <w:spacing w:before="156" w:beforeLines="50" w:after="156" w:afterLines="50" w:line="360" w:lineRule="exact"/>
        <w:rPr>
          <w:rFonts w:ascii="Times New Roman" w:hAnsi="Times New Roman" w:eastAsia="黑体"/>
        </w:rPr>
      </w:pPr>
      <w:r>
        <w:rPr>
          <w:rFonts w:ascii="Times New Roman" w:hAnsi="Times New Roman" w:eastAsia="黑体"/>
        </w:rPr>
        <w:t>5.1  整车标记</w:t>
      </w:r>
    </w:p>
    <w:p w14:paraId="64159394">
      <w:pPr>
        <w:pStyle w:val="6"/>
        <w:spacing w:line="360" w:lineRule="exact"/>
        <w:rPr>
          <w:rFonts w:ascii="Times New Roman" w:hAnsi="Times New Roman"/>
          <w:szCs w:val="21"/>
        </w:rPr>
      </w:pPr>
      <w:r>
        <w:rPr>
          <w:rFonts w:ascii="Times New Roman" w:hAnsi="Times New Roman"/>
          <w:szCs w:val="21"/>
        </w:rPr>
        <w:t>5.1.1  三轮汽车在车身前部外表面的易见部位上应至少装置一个能永久保持的商标或厂标。</w:t>
      </w:r>
    </w:p>
    <w:p w14:paraId="481A0753">
      <w:pPr>
        <w:pStyle w:val="6"/>
        <w:spacing w:line="360" w:lineRule="exact"/>
        <w:rPr>
          <w:rFonts w:ascii="Times New Roman" w:hAnsi="Times New Roman"/>
          <w:szCs w:val="21"/>
        </w:rPr>
      </w:pPr>
      <w:r>
        <w:rPr>
          <w:rFonts w:ascii="Times New Roman" w:hAnsi="Times New Roman"/>
          <w:szCs w:val="21"/>
        </w:rPr>
        <w:t>5.1.2  三轮汽车应至少装置一个能永久保持的产品标牌。产品标牌应固定在一个明显的、不受更换部件影响的位置，其具体位置应在产品使用说明书中指明。</w:t>
      </w:r>
    </w:p>
    <w:p w14:paraId="00ADF80A">
      <w:pPr>
        <w:pStyle w:val="34"/>
        <w:numPr>
          <w:ilvl w:val="0"/>
          <w:numId w:val="0"/>
        </w:numPr>
        <w:spacing w:line="360" w:lineRule="exact"/>
        <w:ind w:firstLine="420" w:firstLineChars="200"/>
        <w:rPr>
          <w:rFonts w:ascii="Times New Roman" w:eastAsia="宋体"/>
          <w:szCs w:val="21"/>
        </w:rPr>
      </w:pPr>
      <w:r>
        <w:rPr>
          <w:rFonts w:ascii="Times New Roman" w:eastAsia="宋体"/>
          <w:szCs w:val="21"/>
        </w:rPr>
        <w:t>产品标牌上标明品牌、整车型号、制造年月、生产厂名及制造国、车辆识别代号、发动机型号、发动机最大净功率/转速、最大设计总质量、整备质量。产品标牌上标明的内容应规范、清晰耐久且易于识别，项目名称均应有中文名称。</w:t>
      </w:r>
    </w:p>
    <w:p w14:paraId="2E0F7F79">
      <w:pPr>
        <w:pStyle w:val="34"/>
        <w:numPr>
          <w:ilvl w:val="0"/>
          <w:numId w:val="0"/>
        </w:numPr>
        <w:spacing w:line="360" w:lineRule="exact"/>
        <w:rPr>
          <w:rFonts w:ascii="Times New Roman" w:eastAsia="宋体"/>
          <w:szCs w:val="21"/>
        </w:rPr>
      </w:pPr>
      <w:r>
        <w:rPr>
          <w:rFonts w:ascii="Times New Roman" w:eastAsia="宋体"/>
          <w:szCs w:val="21"/>
        </w:rPr>
        <w:t>5.1.3  三轮汽车应具有车辆识别代号</w:t>
      </w:r>
      <w:r>
        <w:rPr>
          <w:rFonts w:hint="eastAsia" w:ascii="Times New Roman" w:eastAsia="宋体"/>
          <w:szCs w:val="21"/>
        </w:rPr>
        <w:t>（VIN）</w:t>
      </w:r>
      <w:r>
        <w:rPr>
          <w:rFonts w:ascii="Times New Roman" w:eastAsia="宋体"/>
          <w:szCs w:val="21"/>
        </w:rPr>
        <w:t xml:space="preserve">，其内容和构成应符合 </w:t>
      </w:r>
      <w:r>
        <w:rPr>
          <w:rFonts w:ascii="Times New Roman"/>
        </w:rPr>
        <w:t>GB 16735</w:t>
      </w:r>
      <w:r>
        <w:rPr>
          <w:rFonts w:ascii="Times New Roman" w:eastAsia="宋体"/>
          <w:szCs w:val="21"/>
        </w:rPr>
        <w:t>的规定；应至少有一个车辆识别代号打刻在车架上，打刻位置应尽量位于前部右侧，如受结构限制也可打刻在其它部位。打刻的车辆识别代号应易见且易于拓印，其字母和数字的字高不应小于7.0 mm，深度不应小于0.3 mm。</w:t>
      </w:r>
    </w:p>
    <w:p w14:paraId="7B00E5C4">
      <w:pPr>
        <w:pStyle w:val="34"/>
        <w:numPr>
          <w:ilvl w:val="0"/>
          <w:numId w:val="0"/>
        </w:numPr>
        <w:spacing w:line="360" w:lineRule="exact"/>
        <w:ind w:firstLine="420" w:firstLineChars="200"/>
        <w:rPr>
          <w:rFonts w:ascii="Times New Roman" w:eastAsia="宋体"/>
          <w:b/>
          <w:szCs w:val="21"/>
        </w:rPr>
      </w:pPr>
      <w:r>
        <w:rPr>
          <w:rFonts w:ascii="Times New Roman" w:eastAsia="宋体"/>
          <w:szCs w:val="21"/>
        </w:rPr>
        <w:t>车辆识别代号</w:t>
      </w:r>
      <w:r>
        <w:rPr>
          <w:rFonts w:hint="eastAsia" w:ascii="Times New Roman" w:eastAsia="宋体"/>
          <w:szCs w:val="21"/>
        </w:rPr>
        <w:t>（VIN）</w:t>
      </w:r>
      <w:r>
        <w:rPr>
          <w:rFonts w:ascii="Times New Roman" w:eastAsia="宋体"/>
          <w:szCs w:val="21"/>
        </w:rPr>
        <w:t>打刻的具体位置应在产品使用说明书中指明，一经打刻不允许更改、变动。同一辆车上标识的所有车辆识别代号内容应相同。</w:t>
      </w:r>
    </w:p>
    <w:p w14:paraId="47B78161">
      <w:pPr>
        <w:pStyle w:val="34"/>
        <w:numPr>
          <w:ilvl w:val="0"/>
          <w:numId w:val="0"/>
        </w:numPr>
        <w:spacing w:line="360" w:lineRule="exact"/>
        <w:rPr>
          <w:rFonts w:ascii="Times New Roman" w:eastAsia="宋体"/>
          <w:szCs w:val="21"/>
        </w:rPr>
      </w:pPr>
      <w:r>
        <w:rPr>
          <w:rFonts w:ascii="Times New Roman" w:eastAsia="宋体"/>
          <w:szCs w:val="21"/>
        </w:rPr>
        <w:t xml:space="preserve">5.1.4 </w:t>
      </w:r>
      <w:r>
        <w:rPr>
          <w:rFonts w:ascii="Times New Roman"/>
          <w:szCs w:val="21"/>
        </w:rPr>
        <w:t xml:space="preserve"> </w:t>
      </w:r>
      <w:r>
        <w:rPr>
          <w:rFonts w:ascii="Times New Roman" w:eastAsia="宋体"/>
          <w:szCs w:val="21"/>
        </w:rPr>
        <w:t>三轮汽车发动机型号和出厂编号应打刻（或铸出）在气缸体上且应能永久保持，在出厂编号的两端应打刻起止标记（没有打刻起止标记的空间可不打刻）；若打刻（或铸出）的发动机型号和出厂编号不易见，则应在发动机易见部位增加能永久保持的发动机型号和出厂编号的标识。发动机出厂编号的具体位置应在产品使用说明书中指明。</w:t>
      </w:r>
    </w:p>
    <w:p w14:paraId="3077BEB6">
      <w:pPr>
        <w:pStyle w:val="6"/>
        <w:spacing w:line="360" w:lineRule="exact"/>
        <w:rPr>
          <w:rFonts w:ascii="Times New Roman" w:hAnsi="Times New Roman"/>
          <w:szCs w:val="21"/>
        </w:rPr>
      </w:pPr>
      <w:r>
        <w:rPr>
          <w:rFonts w:ascii="Times New Roman" w:hAnsi="Times New Roman"/>
          <w:szCs w:val="21"/>
        </w:rPr>
        <w:t>5.1.5  三轮汽车应设置号牌板（架），</w:t>
      </w:r>
      <w:r>
        <w:rPr>
          <w:rFonts w:ascii="Times New Roman" w:hAnsi="Times New Roman"/>
          <w:color w:val="000000"/>
          <w:szCs w:val="21"/>
        </w:rPr>
        <w:t>后号牌板</w:t>
      </w:r>
      <w:r>
        <w:rPr>
          <w:rFonts w:hint="eastAsia" w:ascii="Times New Roman" w:hAnsi="Times New Roman"/>
          <w:color w:val="000000"/>
          <w:szCs w:val="21"/>
        </w:rPr>
        <w:t>（</w:t>
      </w:r>
      <w:r>
        <w:rPr>
          <w:rFonts w:ascii="Times New Roman" w:hAnsi="Times New Roman"/>
          <w:color w:val="000000"/>
          <w:szCs w:val="21"/>
        </w:rPr>
        <w:t>架</w:t>
      </w:r>
      <w:r>
        <w:rPr>
          <w:rFonts w:hint="eastAsia" w:ascii="Times New Roman" w:hAnsi="Times New Roman"/>
          <w:color w:val="000000"/>
          <w:szCs w:val="21"/>
        </w:rPr>
        <w:t>）</w:t>
      </w:r>
      <w:r>
        <w:rPr>
          <w:rFonts w:ascii="Times New Roman" w:hAnsi="Times New Roman"/>
          <w:color w:val="000000"/>
          <w:szCs w:val="21"/>
        </w:rPr>
        <w:t>上应设有4个号牌安装孔，前号牌板</w:t>
      </w:r>
      <w:r>
        <w:rPr>
          <w:rFonts w:ascii="Times New Roman" w:hAnsi="Times New Roman"/>
          <w:szCs w:val="21"/>
        </w:rPr>
        <w:t>（架）</w:t>
      </w:r>
      <w:r>
        <w:rPr>
          <w:rFonts w:ascii="Times New Roman" w:hAnsi="Times New Roman"/>
          <w:color w:val="000000"/>
          <w:szCs w:val="21"/>
        </w:rPr>
        <w:t>应设有2个号牌安装孔</w:t>
      </w:r>
      <w:r>
        <w:rPr>
          <w:rFonts w:ascii="Times New Roman" w:hAnsi="Times New Roman"/>
          <w:szCs w:val="21"/>
        </w:rPr>
        <w:t>。</w:t>
      </w:r>
      <w:r>
        <w:rPr>
          <w:rFonts w:ascii="Times New Roman" w:hAnsi="Times New Roman"/>
          <w:color w:val="000000"/>
          <w:szCs w:val="21"/>
        </w:rPr>
        <w:t>前号牌板</w:t>
      </w:r>
      <w:r>
        <w:rPr>
          <w:rFonts w:ascii="Times New Roman" w:hAnsi="Times New Roman"/>
          <w:szCs w:val="21"/>
        </w:rPr>
        <w:t>（架）</w:t>
      </w:r>
      <w:r>
        <w:rPr>
          <w:rFonts w:ascii="Times New Roman" w:hAnsi="Times New Roman"/>
          <w:color w:val="000000"/>
          <w:szCs w:val="21"/>
        </w:rPr>
        <w:t>应设于前面的中部或右侧（按三轮汽车前进方向），后号牌板</w:t>
      </w:r>
      <w:r>
        <w:rPr>
          <w:rFonts w:ascii="Times New Roman" w:hAnsi="Times New Roman"/>
          <w:szCs w:val="21"/>
        </w:rPr>
        <w:t>（架）</w:t>
      </w:r>
      <w:r>
        <w:rPr>
          <w:rFonts w:ascii="Times New Roman" w:hAnsi="Times New Roman"/>
          <w:color w:val="000000"/>
          <w:szCs w:val="21"/>
        </w:rPr>
        <w:t>应设于后面的中部或左侧。</w:t>
      </w:r>
      <w:r>
        <w:rPr>
          <w:rFonts w:ascii="Times New Roman" w:hAnsi="Times New Roman"/>
          <w:szCs w:val="21"/>
        </w:rPr>
        <w:t>牌板（架）及其位置的其他要求应符合GB/T 19131的规定。</w:t>
      </w:r>
    </w:p>
    <w:p w14:paraId="19768FCC">
      <w:pPr>
        <w:pStyle w:val="6"/>
        <w:spacing w:before="156" w:beforeLines="50" w:after="156" w:afterLines="50" w:line="360" w:lineRule="exact"/>
        <w:rPr>
          <w:rFonts w:ascii="黑体" w:hAnsi="黑体" w:eastAsia="黑体"/>
        </w:rPr>
      </w:pPr>
      <w:r>
        <w:rPr>
          <w:rFonts w:ascii="黑体" w:hAnsi="黑体" w:eastAsia="黑体"/>
        </w:rPr>
        <w:t>5.2  图形标志</w:t>
      </w:r>
    </w:p>
    <w:p w14:paraId="3AA7E410">
      <w:pPr>
        <w:pStyle w:val="6"/>
        <w:spacing w:line="360" w:lineRule="exact"/>
        <w:rPr>
          <w:rFonts w:ascii="Times New Roman" w:hAnsi="Times New Roman"/>
          <w:szCs w:val="21"/>
        </w:rPr>
      </w:pPr>
      <w:r>
        <w:rPr>
          <w:rFonts w:ascii="Times New Roman" w:hAnsi="Times New Roman"/>
          <w:szCs w:val="21"/>
        </w:rPr>
        <w:t xml:space="preserve">    三轮汽车操纵件、指示器及信号装置的图形标志应符合GB/T 19122的规定。</w:t>
      </w:r>
    </w:p>
    <w:p w14:paraId="74B6149F">
      <w:pPr>
        <w:pStyle w:val="6"/>
        <w:spacing w:before="156" w:beforeLines="50" w:after="156" w:afterLines="50" w:line="360" w:lineRule="exact"/>
        <w:rPr>
          <w:rFonts w:ascii="黑体" w:hAnsi="黑体" w:eastAsia="黑体"/>
        </w:rPr>
      </w:pPr>
      <w:r>
        <w:rPr>
          <w:rFonts w:ascii="黑体" w:hAnsi="黑体" w:eastAsia="黑体"/>
        </w:rPr>
        <w:t>5.3  安全标志</w:t>
      </w:r>
    </w:p>
    <w:p w14:paraId="0C41A001">
      <w:pPr>
        <w:pStyle w:val="6"/>
        <w:spacing w:line="360" w:lineRule="exact"/>
        <w:rPr>
          <w:rFonts w:ascii="Times New Roman" w:hAnsi="Times New Roman"/>
          <w:szCs w:val="21"/>
        </w:rPr>
      </w:pPr>
      <w:r>
        <w:rPr>
          <w:rFonts w:hint="eastAsia" w:ascii="Times New Roman" w:hAnsi="Times New Roman"/>
          <w:szCs w:val="21"/>
        </w:rPr>
        <w:t xml:space="preserve">5.3.1  </w:t>
      </w:r>
      <w:r>
        <w:rPr>
          <w:rFonts w:ascii="Times New Roman" w:hAnsi="Times New Roman"/>
          <w:szCs w:val="21"/>
        </w:rPr>
        <w:t>对三轮汽车的遗留风险，应按对应危险的严重程度，设置相应的安全标志</w:t>
      </w:r>
      <w:r>
        <w:rPr>
          <w:rFonts w:hint="eastAsia" w:ascii="Times New Roman" w:hAnsi="Times New Roman"/>
          <w:szCs w:val="21"/>
        </w:rPr>
        <w:t>。</w:t>
      </w:r>
    </w:p>
    <w:p w14:paraId="29EB3CFE">
      <w:pPr>
        <w:pStyle w:val="6"/>
        <w:spacing w:line="360" w:lineRule="exact"/>
        <w:rPr>
          <w:rFonts w:ascii="Times New Roman" w:hAnsi="Times New Roman"/>
          <w:szCs w:val="21"/>
        </w:rPr>
      </w:pPr>
      <w:r>
        <w:rPr>
          <w:rFonts w:hint="eastAsia" w:ascii="Times New Roman" w:hAnsi="Times New Roman"/>
          <w:szCs w:val="21"/>
        </w:rPr>
        <w:t xml:space="preserve">5.3.2  </w:t>
      </w:r>
      <w:r>
        <w:rPr>
          <w:rFonts w:ascii="Times New Roman" w:hAnsi="Times New Roman"/>
          <w:szCs w:val="21"/>
        </w:rPr>
        <w:t>安全标志应接近针对的危险部位，且耐久、清晰、可视。</w:t>
      </w:r>
    </w:p>
    <w:p w14:paraId="41812C68">
      <w:pPr>
        <w:pStyle w:val="6"/>
        <w:spacing w:line="360" w:lineRule="exact"/>
        <w:rPr>
          <w:rFonts w:ascii="Times New Roman" w:hAnsi="Times New Roman"/>
          <w:szCs w:val="21"/>
        </w:rPr>
      </w:pPr>
      <w:r>
        <w:rPr>
          <w:rFonts w:hint="eastAsia" w:ascii="Times New Roman" w:hAnsi="Times New Roman"/>
          <w:szCs w:val="21"/>
        </w:rPr>
        <w:t xml:space="preserve">5.3.3  </w:t>
      </w:r>
      <w:r>
        <w:rPr>
          <w:rFonts w:ascii="Times New Roman" w:hAnsi="Times New Roman"/>
          <w:szCs w:val="21"/>
        </w:rPr>
        <w:t>安全标志的型式、构成、颜色和尺寸、使用原则应符合附录A的规定。</w:t>
      </w:r>
    </w:p>
    <w:p w14:paraId="520E3D7A">
      <w:pPr>
        <w:pStyle w:val="6"/>
        <w:spacing w:before="156" w:beforeLines="50" w:after="156" w:afterLines="50" w:line="360" w:lineRule="exact"/>
        <w:rPr>
          <w:rFonts w:ascii="黑体" w:hAnsi="黑体" w:eastAsia="黑体"/>
        </w:rPr>
      </w:pPr>
      <w:r>
        <w:rPr>
          <w:rFonts w:ascii="黑体" w:hAnsi="黑体" w:eastAsia="黑体"/>
        </w:rPr>
        <w:t>5.4  使用说明书</w:t>
      </w:r>
    </w:p>
    <w:p w14:paraId="28AD7FCB">
      <w:pPr>
        <w:pStyle w:val="6"/>
        <w:spacing w:line="360" w:lineRule="exact"/>
        <w:ind w:firstLine="420"/>
        <w:rPr>
          <w:rFonts w:ascii="Times New Roman" w:hAnsi="Times New Roman"/>
          <w:szCs w:val="21"/>
        </w:rPr>
      </w:pPr>
      <w:r>
        <w:rPr>
          <w:rFonts w:ascii="Times New Roman" w:hAnsi="Times New Roman"/>
          <w:szCs w:val="21"/>
        </w:rPr>
        <w:t>使用说明书是交付产品的组成部分，应与三轮汽车一起提供给用户。</w:t>
      </w:r>
    </w:p>
    <w:p w14:paraId="48B5FF8F">
      <w:pPr>
        <w:spacing w:line="360" w:lineRule="exact"/>
        <w:ind w:firstLine="420" w:firstLineChars="200"/>
        <w:rPr>
          <w:szCs w:val="21"/>
        </w:rPr>
      </w:pPr>
      <w:r>
        <w:rPr>
          <w:szCs w:val="21"/>
        </w:rPr>
        <w:t>使用说明书中应有提醒操作者的安全注意事项，至少包括下列内容：</w:t>
      </w:r>
    </w:p>
    <w:p w14:paraId="4C3E00FD">
      <w:pPr>
        <w:spacing w:line="360" w:lineRule="exact"/>
        <w:ind w:firstLine="420" w:firstLineChars="200"/>
        <w:rPr>
          <w:szCs w:val="21"/>
        </w:rPr>
      </w:pPr>
      <w:r>
        <w:rPr>
          <w:szCs w:val="21"/>
        </w:rPr>
        <w:t>——使用三轮汽车前应仔细阅读使用说明书，缺乏使用知识会导致事故；</w:t>
      </w:r>
    </w:p>
    <w:p w14:paraId="0C95F3BA">
      <w:pPr>
        <w:spacing w:line="360" w:lineRule="exact"/>
        <w:ind w:firstLine="420" w:firstLineChars="200"/>
        <w:rPr>
          <w:szCs w:val="21"/>
        </w:rPr>
      </w:pPr>
      <w:r>
        <w:rPr>
          <w:szCs w:val="21"/>
        </w:rPr>
        <w:t>——仅允许经过全面培训和有相应驾驶执照的人员驾驶三轮汽车，严禁无证驾驶三轮汽车；</w:t>
      </w:r>
    </w:p>
    <w:p w14:paraId="37F0F728">
      <w:pPr>
        <w:spacing w:line="360" w:lineRule="exact"/>
        <w:ind w:firstLine="420" w:firstLineChars="200"/>
        <w:rPr>
          <w:szCs w:val="21"/>
        </w:rPr>
      </w:pPr>
      <w:r>
        <w:rPr>
          <w:szCs w:val="21"/>
        </w:rPr>
        <w:t>——严禁酒后或服用麻醉性药剂后驾驶三轮汽车；</w:t>
      </w:r>
    </w:p>
    <w:p w14:paraId="26FB7CE2">
      <w:pPr>
        <w:spacing w:line="360" w:lineRule="exact"/>
        <w:ind w:firstLine="420" w:firstLineChars="200"/>
        <w:rPr>
          <w:szCs w:val="21"/>
        </w:rPr>
      </w:pPr>
      <w:r>
        <w:rPr>
          <w:szCs w:val="21"/>
        </w:rPr>
        <w:t>——不</w:t>
      </w:r>
      <w:r>
        <w:rPr>
          <w:rFonts w:hint="eastAsia"/>
          <w:szCs w:val="21"/>
        </w:rPr>
        <w:t>应</w:t>
      </w:r>
      <w:r>
        <w:rPr>
          <w:szCs w:val="21"/>
        </w:rPr>
        <w:t>私自改装或改变三轮汽车用途；</w:t>
      </w:r>
    </w:p>
    <w:p w14:paraId="4E3EFD39">
      <w:pPr>
        <w:spacing w:line="360" w:lineRule="exact"/>
        <w:ind w:firstLine="420" w:firstLineChars="200"/>
        <w:rPr>
          <w:szCs w:val="21"/>
        </w:rPr>
      </w:pPr>
      <w:r>
        <w:rPr>
          <w:szCs w:val="21"/>
        </w:rPr>
        <w:t>——任何时候都要让儿童远离三轮汽车；</w:t>
      </w:r>
    </w:p>
    <w:p w14:paraId="0BA00115">
      <w:pPr>
        <w:spacing w:line="360" w:lineRule="exact"/>
        <w:ind w:firstLine="420" w:firstLineChars="200"/>
        <w:rPr>
          <w:szCs w:val="21"/>
        </w:rPr>
      </w:pPr>
      <w:r>
        <w:rPr>
          <w:szCs w:val="21"/>
        </w:rPr>
        <w:t>——在</w:t>
      </w:r>
      <w:r>
        <w:rPr>
          <w:rFonts w:hint="eastAsia"/>
          <w:szCs w:val="21"/>
        </w:rPr>
        <w:t>道路</w:t>
      </w:r>
      <w:r>
        <w:rPr>
          <w:szCs w:val="21"/>
        </w:rPr>
        <w:t>上行驶时，应考虑到</w:t>
      </w:r>
      <w:r>
        <w:rPr>
          <w:rFonts w:hint="eastAsia"/>
          <w:szCs w:val="21"/>
        </w:rPr>
        <w:t>道路</w:t>
      </w:r>
      <w:r>
        <w:rPr>
          <w:szCs w:val="21"/>
        </w:rPr>
        <w:t>上的其它车辆和人员。行驶速度不要超过速度限值；</w:t>
      </w:r>
    </w:p>
    <w:p w14:paraId="65E15B28">
      <w:pPr>
        <w:spacing w:line="360" w:lineRule="exact"/>
        <w:ind w:firstLine="420" w:firstLineChars="200"/>
        <w:rPr>
          <w:szCs w:val="21"/>
        </w:rPr>
      </w:pPr>
      <w:r>
        <w:rPr>
          <w:szCs w:val="21"/>
        </w:rPr>
        <w:t>——应确保照明和信号装置完好。在夜间遇到迎面驶来车辆时应将前照灯变近光，以避免迎面行驶过来车辆的驾驶员眩目；</w:t>
      </w:r>
    </w:p>
    <w:p w14:paraId="62D01BB9">
      <w:pPr>
        <w:spacing w:line="360" w:lineRule="exact"/>
        <w:ind w:firstLine="420" w:firstLineChars="200"/>
        <w:rPr>
          <w:szCs w:val="21"/>
        </w:rPr>
      </w:pPr>
      <w:r>
        <w:rPr>
          <w:szCs w:val="21"/>
        </w:rPr>
        <w:t>——下坡时不</w:t>
      </w:r>
      <w:r>
        <w:rPr>
          <w:rFonts w:hint="eastAsia"/>
          <w:szCs w:val="21"/>
        </w:rPr>
        <w:t>应</w:t>
      </w:r>
      <w:r>
        <w:rPr>
          <w:szCs w:val="21"/>
        </w:rPr>
        <w:t>空挡滑行；</w:t>
      </w:r>
    </w:p>
    <w:p w14:paraId="0CB8315E">
      <w:pPr>
        <w:spacing w:line="360" w:lineRule="exact"/>
        <w:ind w:firstLine="420" w:firstLineChars="200"/>
        <w:rPr>
          <w:szCs w:val="21"/>
        </w:rPr>
      </w:pPr>
      <w:r>
        <w:rPr>
          <w:szCs w:val="21"/>
        </w:rPr>
        <w:t>——为避免倾翻，在不平路面、斜坡以及转弯时应放慢速度安全行驶；</w:t>
      </w:r>
    </w:p>
    <w:p w14:paraId="1DE24879">
      <w:pPr>
        <w:spacing w:line="360" w:lineRule="exact"/>
        <w:ind w:firstLine="420" w:firstLineChars="200"/>
        <w:rPr>
          <w:szCs w:val="21"/>
        </w:rPr>
      </w:pPr>
      <w:r>
        <w:rPr>
          <w:szCs w:val="21"/>
        </w:rPr>
        <w:t>——行驶中不</w:t>
      </w:r>
      <w:r>
        <w:rPr>
          <w:rFonts w:hint="eastAsia"/>
          <w:szCs w:val="21"/>
        </w:rPr>
        <w:t>应</w:t>
      </w:r>
      <w:r>
        <w:rPr>
          <w:szCs w:val="21"/>
        </w:rPr>
        <w:t>上下三轮汽车；</w:t>
      </w:r>
    </w:p>
    <w:p w14:paraId="77B91140">
      <w:pPr>
        <w:spacing w:line="360" w:lineRule="exact"/>
        <w:ind w:firstLine="420" w:firstLineChars="200"/>
        <w:rPr>
          <w:szCs w:val="21"/>
        </w:rPr>
      </w:pPr>
      <w:r>
        <w:rPr>
          <w:szCs w:val="21"/>
        </w:rPr>
        <w:t>——发动机不</w:t>
      </w:r>
      <w:r>
        <w:rPr>
          <w:rFonts w:hint="eastAsia"/>
          <w:szCs w:val="21"/>
        </w:rPr>
        <w:t>应</w:t>
      </w:r>
      <w:r>
        <w:rPr>
          <w:szCs w:val="21"/>
        </w:rPr>
        <w:t>在通风不当的封闭室内运转；</w:t>
      </w:r>
    </w:p>
    <w:p w14:paraId="46199AC6">
      <w:pPr>
        <w:spacing w:line="360" w:lineRule="exact"/>
        <w:ind w:firstLine="420" w:firstLineChars="200"/>
        <w:rPr>
          <w:szCs w:val="21"/>
        </w:rPr>
      </w:pPr>
      <w:r>
        <w:rPr>
          <w:szCs w:val="21"/>
        </w:rPr>
        <w:t>——严禁超载及在</w:t>
      </w:r>
      <w:r>
        <w:rPr>
          <w:rFonts w:hint="eastAsia"/>
          <w:szCs w:val="21"/>
        </w:rPr>
        <w:t>货箱</w:t>
      </w:r>
      <w:r>
        <w:rPr>
          <w:szCs w:val="21"/>
        </w:rPr>
        <w:t>内载人。如果滥用或不正确使用会有危险，对驾驶员和周围人员会造成伤害；</w:t>
      </w:r>
    </w:p>
    <w:p w14:paraId="271014CD">
      <w:pPr>
        <w:spacing w:line="360" w:lineRule="exact"/>
        <w:ind w:firstLine="420" w:firstLineChars="200"/>
        <w:rPr>
          <w:szCs w:val="21"/>
        </w:rPr>
      </w:pPr>
      <w:r>
        <w:rPr>
          <w:szCs w:val="21"/>
        </w:rPr>
        <w:t>——在发动机运转时，不</w:t>
      </w:r>
      <w:r>
        <w:rPr>
          <w:rFonts w:hint="eastAsia"/>
          <w:szCs w:val="21"/>
        </w:rPr>
        <w:t>应</w:t>
      </w:r>
      <w:r>
        <w:rPr>
          <w:szCs w:val="21"/>
        </w:rPr>
        <w:t>清理、调整、保养车辆；</w:t>
      </w:r>
    </w:p>
    <w:p w14:paraId="1E94D6C6">
      <w:pPr>
        <w:spacing w:line="360" w:lineRule="exact"/>
        <w:ind w:firstLine="420" w:firstLineChars="200"/>
        <w:rPr>
          <w:szCs w:val="21"/>
        </w:rPr>
      </w:pPr>
      <w:r>
        <w:rPr>
          <w:szCs w:val="21"/>
        </w:rPr>
        <w:t>——冷却系统在膨胀水箱盖子控制的压力下工作。当系统发热时，卸下该盖是危险的。应注意要慢慢拧盖子，在盖子完全拧下之前应先停一下使压力释放。在膨胀水箱压力盖没有卸下前，不应卸下散热器顶部的盖子；</w:t>
      </w:r>
    </w:p>
    <w:p w14:paraId="13AA3C65">
      <w:pPr>
        <w:spacing w:line="360" w:lineRule="exact"/>
        <w:ind w:firstLine="420" w:firstLineChars="200"/>
        <w:rPr>
          <w:szCs w:val="21"/>
        </w:rPr>
      </w:pPr>
      <w:r>
        <w:rPr>
          <w:szCs w:val="21"/>
        </w:rPr>
        <w:t>——加油时不</w:t>
      </w:r>
      <w:r>
        <w:rPr>
          <w:rFonts w:hint="eastAsia"/>
          <w:szCs w:val="21"/>
        </w:rPr>
        <w:t>应</w:t>
      </w:r>
      <w:r>
        <w:rPr>
          <w:szCs w:val="21"/>
        </w:rPr>
        <w:t>吸烟，要远离明火；</w:t>
      </w:r>
    </w:p>
    <w:p w14:paraId="2B449719">
      <w:pPr>
        <w:spacing w:line="360" w:lineRule="exact"/>
        <w:ind w:firstLine="420" w:firstLineChars="200"/>
        <w:rPr>
          <w:szCs w:val="21"/>
        </w:rPr>
      </w:pPr>
      <w:r>
        <w:rPr>
          <w:szCs w:val="21"/>
        </w:rPr>
        <w:t>——保持制动器和转向机构处于安全可靠状态，以保证人身安全和符合法规要求；</w:t>
      </w:r>
    </w:p>
    <w:p w14:paraId="7B1CF1DE">
      <w:pPr>
        <w:spacing w:line="360" w:lineRule="exact"/>
        <w:ind w:firstLine="420" w:firstLineChars="200"/>
        <w:rPr>
          <w:szCs w:val="21"/>
        </w:rPr>
      </w:pPr>
      <w:r>
        <w:rPr>
          <w:szCs w:val="21"/>
        </w:rPr>
        <w:t>——喷油系统的油液具有较高压力，压力作用下逸出的燃油，透入皮肤会造成严重伤害；</w:t>
      </w:r>
    </w:p>
    <w:p w14:paraId="60DA309A">
      <w:pPr>
        <w:spacing w:line="360" w:lineRule="exact"/>
        <w:ind w:firstLine="420" w:firstLineChars="200"/>
        <w:rPr>
          <w:szCs w:val="21"/>
        </w:rPr>
      </w:pPr>
      <w:r>
        <w:rPr>
          <w:szCs w:val="21"/>
        </w:rPr>
        <w:t>——非专业人员不要拆卸或调整燃油喷油系统的油泵、喷油器、喷油嘴或其它任何部件，否则会造成严重伤害；</w:t>
      </w:r>
    </w:p>
    <w:p w14:paraId="6886A8AC">
      <w:pPr>
        <w:spacing w:line="360" w:lineRule="exact"/>
        <w:ind w:firstLine="420" w:firstLineChars="200"/>
        <w:rPr>
          <w:szCs w:val="21"/>
        </w:rPr>
      </w:pPr>
      <w:r>
        <w:rPr>
          <w:szCs w:val="21"/>
        </w:rPr>
        <w:t>——避免长时间接触发动机机油。皮肤接触机油后应尽快用肥皂和水清洗；</w:t>
      </w:r>
    </w:p>
    <w:p w14:paraId="36C0F1AC">
      <w:pPr>
        <w:spacing w:line="360" w:lineRule="exact"/>
        <w:ind w:firstLine="420" w:firstLineChars="200"/>
        <w:rPr>
          <w:szCs w:val="21"/>
        </w:rPr>
      </w:pPr>
      <w:r>
        <w:rPr>
          <w:szCs w:val="21"/>
        </w:rPr>
        <w:t>——在任何情况下</w:t>
      </w:r>
      <w:r>
        <w:rPr>
          <w:rFonts w:hint="eastAsia"/>
          <w:szCs w:val="21"/>
        </w:rPr>
        <w:t>不应</w:t>
      </w:r>
      <w:r>
        <w:rPr>
          <w:szCs w:val="21"/>
        </w:rPr>
        <w:t>往柴油中添加汽油、酒精或它们与柴油的混合物。这些混合物会增加火灾或爆炸的危险。在燃油箱中，这些混合物比纯汽油还容易爆炸。绝不</w:t>
      </w:r>
      <w:r>
        <w:rPr>
          <w:rFonts w:hint="eastAsia"/>
          <w:szCs w:val="21"/>
        </w:rPr>
        <w:t>应</w:t>
      </w:r>
      <w:r>
        <w:rPr>
          <w:szCs w:val="21"/>
        </w:rPr>
        <w:t>使用这些混和物；</w:t>
      </w:r>
    </w:p>
    <w:p w14:paraId="5C5C214A">
      <w:pPr>
        <w:spacing w:line="360" w:lineRule="exact"/>
        <w:ind w:firstLine="420" w:firstLineChars="200"/>
        <w:rPr>
          <w:szCs w:val="21"/>
        </w:rPr>
      </w:pPr>
      <w:r>
        <w:rPr>
          <w:szCs w:val="21"/>
        </w:rPr>
        <w:t>——发动机运转或热机时，不</w:t>
      </w:r>
      <w:r>
        <w:rPr>
          <w:rFonts w:hint="eastAsia"/>
          <w:szCs w:val="21"/>
        </w:rPr>
        <w:t>应</w:t>
      </w:r>
      <w:r>
        <w:rPr>
          <w:szCs w:val="21"/>
        </w:rPr>
        <w:t>卸下燃油箱盖和加油；</w:t>
      </w:r>
    </w:p>
    <w:p w14:paraId="2F951706">
      <w:pPr>
        <w:spacing w:line="360" w:lineRule="exact"/>
        <w:ind w:firstLine="420" w:firstLineChars="200"/>
        <w:rPr>
          <w:szCs w:val="21"/>
        </w:rPr>
      </w:pPr>
      <w:r>
        <w:rPr>
          <w:szCs w:val="21"/>
        </w:rPr>
        <w:t>——加油不</w:t>
      </w:r>
      <w:r>
        <w:rPr>
          <w:rFonts w:hint="eastAsia"/>
          <w:szCs w:val="21"/>
        </w:rPr>
        <w:t>应</w:t>
      </w:r>
      <w:r>
        <w:rPr>
          <w:szCs w:val="21"/>
        </w:rPr>
        <w:t>超过容量值，要留出燃油膨胀的空间。始终牢固地拧紧燃油箱盖。溢出的燃油应立即擦掉；</w:t>
      </w:r>
    </w:p>
    <w:p w14:paraId="4AE39C69">
      <w:pPr>
        <w:spacing w:line="360" w:lineRule="exact"/>
        <w:ind w:firstLine="420" w:firstLineChars="200"/>
        <w:rPr>
          <w:szCs w:val="21"/>
        </w:rPr>
      </w:pPr>
      <w:r>
        <w:rPr>
          <w:szCs w:val="21"/>
        </w:rPr>
        <w:t xml:space="preserve">——行驶时车门锁应锁止，严禁车门未关闭时行驶； </w:t>
      </w:r>
    </w:p>
    <w:p w14:paraId="3C55BDEA">
      <w:pPr>
        <w:spacing w:line="360" w:lineRule="exact"/>
        <w:ind w:firstLine="420" w:firstLineChars="200"/>
        <w:rPr>
          <w:szCs w:val="21"/>
        </w:rPr>
      </w:pPr>
      <w:r>
        <w:rPr>
          <w:szCs w:val="21"/>
        </w:rPr>
        <w:t>——离合踏板踏下应迅速，放松时应缓慢，离合器接合后脚应离开踏板，脚不允许长期踏放在离合踏板上，或用离合器长时间控制车速；</w:t>
      </w:r>
    </w:p>
    <w:p w14:paraId="7E005E40">
      <w:pPr>
        <w:spacing w:line="360" w:lineRule="exact"/>
        <w:ind w:firstLine="420" w:firstLineChars="200"/>
        <w:rPr>
          <w:szCs w:val="21"/>
        </w:rPr>
      </w:pPr>
      <w:r>
        <w:rPr>
          <w:szCs w:val="21"/>
        </w:rPr>
        <w:t>——停车后应拉起驻车制动，防止</w:t>
      </w:r>
      <w:r>
        <w:rPr>
          <w:rFonts w:hint="eastAsia"/>
          <w:szCs w:val="21"/>
        </w:rPr>
        <w:t>三轮汽车</w:t>
      </w:r>
      <w:r>
        <w:rPr>
          <w:szCs w:val="21"/>
        </w:rPr>
        <w:t>自行滑行造成事故。严禁在较大的坡道上停车；</w:t>
      </w:r>
    </w:p>
    <w:p w14:paraId="671B7AB7">
      <w:pPr>
        <w:spacing w:line="360" w:lineRule="exact"/>
        <w:ind w:firstLine="420" w:firstLineChars="200"/>
        <w:rPr>
          <w:szCs w:val="21"/>
        </w:rPr>
      </w:pPr>
      <w:r>
        <w:rPr>
          <w:szCs w:val="21"/>
        </w:rPr>
        <w:t>——严禁短接蓄电池，以防止发生爆炸或火灾；</w:t>
      </w:r>
    </w:p>
    <w:p w14:paraId="4D855377">
      <w:pPr>
        <w:spacing w:line="360" w:lineRule="exact"/>
        <w:ind w:firstLine="420" w:firstLineChars="200"/>
        <w:rPr>
          <w:szCs w:val="21"/>
        </w:rPr>
      </w:pPr>
      <w:r>
        <w:rPr>
          <w:szCs w:val="21"/>
        </w:rPr>
        <w:t>——涉水行驶或洗车后，应低速行驶，并间歇踩踏制动踏板，使制动器干燥。在深泥地、沙地或积水路面等污脏条件下行驶后，应清理制动鼓和制动衬片；</w:t>
      </w:r>
    </w:p>
    <w:p w14:paraId="48023765">
      <w:pPr>
        <w:spacing w:line="360" w:lineRule="exact"/>
        <w:ind w:firstLine="420" w:firstLineChars="200"/>
        <w:rPr>
          <w:szCs w:val="21"/>
        </w:rPr>
      </w:pPr>
      <w:r>
        <w:rPr>
          <w:szCs w:val="21"/>
        </w:rPr>
        <w:t>——维修电路前应切断电源总开关；</w:t>
      </w:r>
    </w:p>
    <w:p w14:paraId="583FAED1">
      <w:pPr>
        <w:spacing w:line="360" w:lineRule="exact"/>
        <w:ind w:firstLine="420" w:firstLineChars="200"/>
        <w:rPr>
          <w:rFonts w:hint="eastAsia" w:eastAsia="宋体"/>
          <w:lang w:eastAsia="zh-CN"/>
        </w:rPr>
      </w:pPr>
      <w:r>
        <w:t>——自卸过程中，货箱后严禁站人。举升油缸顶起后，应牢固支撑保险杆，方可在下方作业；严禁在坡度超过5%以上的横坡上举升货箱，防止翻车或滑移造成事故；举升作业时，发动机转速应保持均匀稳定，不应猛轰油门</w:t>
      </w:r>
      <w:r>
        <w:rPr>
          <w:rFonts w:hint="eastAsia"/>
          <w:lang w:eastAsia="zh-CN"/>
        </w:rPr>
        <w:t>。</w:t>
      </w:r>
    </w:p>
    <w:p w14:paraId="1A9DED06">
      <w:pPr>
        <w:pStyle w:val="32"/>
        <w:numPr>
          <w:ilvl w:val="0"/>
          <w:numId w:val="0"/>
        </w:numPr>
        <w:spacing w:before="312" w:beforeLines="100" w:after="312" w:afterLines="100" w:line="360" w:lineRule="exact"/>
        <w:rPr>
          <w:rFonts w:hAnsi="黑体"/>
        </w:rPr>
      </w:pPr>
      <w:r>
        <w:rPr>
          <w:rFonts w:hAnsi="黑体"/>
        </w:rPr>
        <w:t>6  安全要求的判定</w:t>
      </w:r>
    </w:p>
    <w:p w14:paraId="1D9214AE">
      <w:pPr>
        <w:pStyle w:val="6"/>
        <w:spacing w:before="156" w:beforeLines="50" w:after="156" w:afterLines="50" w:line="360" w:lineRule="exact"/>
        <w:rPr>
          <w:rFonts w:ascii="黑体" w:hAnsi="黑体" w:eastAsia="黑体"/>
        </w:rPr>
      </w:pPr>
      <w:r>
        <w:rPr>
          <w:rFonts w:ascii="黑体" w:hAnsi="黑体" w:eastAsia="黑体"/>
        </w:rPr>
        <w:t>6.1  整车要求</w:t>
      </w:r>
    </w:p>
    <w:p w14:paraId="62855FA8">
      <w:pPr>
        <w:spacing w:line="360" w:lineRule="exact"/>
        <w:ind w:firstLine="420" w:firstLineChars="200"/>
        <w:rPr>
          <w:szCs w:val="21"/>
        </w:rPr>
      </w:pPr>
      <w:r>
        <w:rPr>
          <w:rFonts w:hint="eastAsia"/>
          <w:szCs w:val="21"/>
        </w:rPr>
        <w:t>三轮汽车满载，行驶至少10 km，</w:t>
      </w:r>
      <w:r>
        <w:rPr>
          <w:szCs w:val="21"/>
        </w:rPr>
        <w:t>按制造厂产品使用说明书正常操作</w:t>
      </w:r>
      <w:r>
        <w:rPr>
          <w:rFonts w:hint="eastAsia"/>
          <w:szCs w:val="21"/>
        </w:rPr>
        <w:t>，且在</w:t>
      </w:r>
      <w:r>
        <w:rPr>
          <w:szCs w:val="21"/>
        </w:rPr>
        <w:t>维护保养时未发生不合理危险、无零部件松动、无漏水漏液漏油等现象出现，则判定本文件4.1.1~4</w:t>
      </w:r>
      <w:r>
        <w:rPr>
          <w:rFonts w:hint="eastAsia"/>
          <w:szCs w:val="21"/>
        </w:rPr>
        <w:t>.</w:t>
      </w:r>
      <w:r>
        <w:rPr>
          <w:szCs w:val="21"/>
        </w:rPr>
        <w:t>1.</w:t>
      </w:r>
      <w:r>
        <w:rPr>
          <w:rFonts w:hint="eastAsia"/>
          <w:szCs w:val="21"/>
        </w:rPr>
        <w:t>3</w:t>
      </w:r>
      <w:r>
        <w:rPr>
          <w:szCs w:val="21"/>
        </w:rPr>
        <w:t>项目合格。</w:t>
      </w:r>
    </w:p>
    <w:p w14:paraId="7B1FA27C">
      <w:pPr>
        <w:spacing w:line="360" w:lineRule="exact"/>
        <w:ind w:firstLine="420" w:firstLineChars="200"/>
        <w:rPr>
          <w:szCs w:val="21"/>
        </w:rPr>
      </w:pPr>
      <w:r>
        <w:rPr>
          <w:rFonts w:hint="eastAsia"/>
          <w:szCs w:val="21"/>
        </w:rPr>
        <w:t>三轮汽车处于整备质量状态，轮胎气压符合制造厂的技术要求（误差在±10 kPa范围内），停放在平坦的硬质路面上，前轮处于直线前进状态。</w:t>
      </w:r>
      <w:r>
        <w:rPr>
          <w:szCs w:val="21"/>
        </w:rPr>
        <w:t>用常规线性尺寸量具测量三轮汽车车体外缘左右对称的</w:t>
      </w:r>
      <w:r>
        <w:rPr>
          <w:rFonts w:hint="eastAsia"/>
          <w:szCs w:val="21"/>
        </w:rPr>
        <w:t>某个</w:t>
      </w:r>
      <w:r>
        <w:rPr>
          <w:szCs w:val="21"/>
        </w:rPr>
        <w:t>不同部位两侧距离地面的</w:t>
      </w:r>
      <w:r>
        <w:rPr>
          <w:rFonts w:hint="eastAsia"/>
          <w:szCs w:val="21"/>
        </w:rPr>
        <w:t>最大</w:t>
      </w:r>
      <w:r>
        <w:rPr>
          <w:szCs w:val="21"/>
        </w:rPr>
        <w:t>高度差、前轮中心平面与后轮对称中心平面的偏差是否</w:t>
      </w:r>
      <w:r>
        <w:rPr>
          <w:rFonts w:hint="eastAsia"/>
          <w:szCs w:val="21"/>
        </w:rPr>
        <w:t>满足</w:t>
      </w:r>
      <w:r>
        <w:rPr>
          <w:szCs w:val="21"/>
        </w:rPr>
        <w:t>本文件4.1.</w:t>
      </w:r>
      <w:r>
        <w:rPr>
          <w:rFonts w:hint="eastAsia"/>
          <w:szCs w:val="21"/>
        </w:rPr>
        <w:t>3、</w:t>
      </w:r>
      <w:r>
        <w:rPr>
          <w:szCs w:val="21"/>
        </w:rPr>
        <w:t>4</w:t>
      </w:r>
      <w:r>
        <w:rPr>
          <w:rFonts w:hint="eastAsia"/>
          <w:szCs w:val="21"/>
        </w:rPr>
        <w:t>.</w:t>
      </w:r>
      <w:r>
        <w:rPr>
          <w:szCs w:val="21"/>
        </w:rPr>
        <w:t>1.</w:t>
      </w:r>
      <w:r>
        <w:rPr>
          <w:rFonts w:hint="eastAsia"/>
          <w:szCs w:val="21"/>
        </w:rPr>
        <w:t>4</w:t>
      </w:r>
      <w:r>
        <w:rPr>
          <w:szCs w:val="21"/>
        </w:rPr>
        <w:t>要求。</w:t>
      </w:r>
    </w:p>
    <w:p w14:paraId="55342969">
      <w:pPr>
        <w:spacing w:line="360" w:lineRule="exact"/>
        <w:ind w:firstLine="420" w:firstLineChars="200"/>
        <w:rPr>
          <w:szCs w:val="21"/>
        </w:rPr>
      </w:pPr>
      <w:r>
        <w:rPr>
          <w:rFonts w:hint="eastAsia"/>
          <w:szCs w:val="21"/>
        </w:rPr>
        <w:t>按</w:t>
      </w:r>
      <w:r>
        <w:rPr>
          <w:szCs w:val="21"/>
        </w:rPr>
        <w:t>三轮汽车实际设计参数计算比功率、质量利用系数</w:t>
      </w:r>
      <w:r>
        <w:rPr>
          <w:rFonts w:hint="eastAsia"/>
          <w:szCs w:val="21"/>
        </w:rPr>
        <w:t>、</w:t>
      </w:r>
      <w:r>
        <w:rPr>
          <w:szCs w:val="21"/>
        </w:rPr>
        <w:t>罐体总容量等项目</w:t>
      </w:r>
      <w:r>
        <w:rPr>
          <w:rFonts w:hint="eastAsia"/>
          <w:szCs w:val="21"/>
        </w:rPr>
        <w:t>并判定</w:t>
      </w:r>
      <w:r>
        <w:rPr>
          <w:szCs w:val="21"/>
        </w:rPr>
        <w:t>是否</w:t>
      </w:r>
      <w:r>
        <w:rPr>
          <w:rFonts w:hint="eastAsia"/>
          <w:szCs w:val="21"/>
        </w:rPr>
        <w:t>满足</w:t>
      </w:r>
      <w:r>
        <w:rPr>
          <w:szCs w:val="21"/>
        </w:rPr>
        <w:t>本文件4.1.</w:t>
      </w:r>
      <w:r>
        <w:rPr>
          <w:rFonts w:hint="eastAsia"/>
          <w:szCs w:val="21"/>
        </w:rPr>
        <w:t>5</w:t>
      </w:r>
      <w:r>
        <w:rPr>
          <w:szCs w:val="21"/>
        </w:rPr>
        <w:t>~4</w:t>
      </w:r>
      <w:r>
        <w:rPr>
          <w:rFonts w:hint="eastAsia"/>
          <w:szCs w:val="21"/>
        </w:rPr>
        <w:t>.</w:t>
      </w:r>
      <w:r>
        <w:rPr>
          <w:szCs w:val="21"/>
        </w:rPr>
        <w:t>1.</w:t>
      </w:r>
      <w:r>
        <w:rPr>
          <w:rFonts w:hint="eastAsia"/>
          <w:szCs w:val="21"/>
        </w:rPr>
        <w:t>7的</w:t>
      </w:r>
      <w:r>
        <w:rPr>
          <w:szCs w:val="21"/>
        </w:rPr>
        <w:t>要求。其中比功率的计算采用舍去法，保留1位有效数字。</w:t>
      </w:r>
    </w:p>
    <w:p w14:paraId="10ABEC34">
      <w:pPr>
        <w:pStyle w:val="6"/>
        <w:spacing w:before="156" w:beforeLines="50" w:after="156" w:afterLines="50" w:line="360" w:lineRule="exact"/>
        <w:rPr>
          <w:rFonts w:ascii="黑体" w:hAnsi="黑体" w:eastAsia="黑体"/>
        </w:rPr>
      </w:pPr>
      <w:r>
        <w:rPr>
          <w:rFonts w:ascii="黑体" w:hAnsi="黑体" w:eastAsia="黑体"/>
        </w:rPr>
        <w:t>6.2  驾驶员工作位置</w:t>
      </w:r>
    </w:p>
    <w:p w14:paraId="31E252C7">
      <w:pPr>
        <w:pStyle w:val="6"/>
        <w:spacing w:before="156" w:beforeLines="50" w:after="156" w:afterLines="50" w:line="360" w:lineRule="exact"/>
        <w:rPr>
          <w:rFonts w:ascii="黑体" w:hAnsi="黑体" w:eastAsia="黑体"/>
        </w:rPr>
      </w:pPr>
      <w:r>
        <w:rPr>
          <w:rFonts w:ascii="黑体" w:hAnsi="黑体" w:eastAsia="黑体"/>
        </w:rPr>
        <w:t>6.2.1  驾驶室内部空间</w:t>
      </w:r>
    </w:p>
    <w:p w14:paraId="1900BE8A">
      <w:pPr>
        <w:spacing w:line="360" w:lineRule="exact"/>
        <w:ind w:firstLine="420" w:firstLineChars="200"/>
        <w:rPr>
          <w:szCs w:val="21"/>
        </w:rPr>
      </w:pPr>
      <w:r>
        <w:rPr>
          <w:rFonts w:hint="eastAsia"/>
          <w:szCs w:val="21"/>
        </w:rPr>
        <w:t>采用</w:t>
      </w:r>
      <w:r>
        <w:rPr>
          <w:szCs w:val="21"/>
        </w:rPr>
        <w:t>目测</w:t>
      </w:r>
      <w:r>
        <w:rPr>
          <w:rFonts w:hint="eastAsia"/>
          <w:szCs w:val="21"/>
        </w:rPr>
        <w:t>及手感方式，</w:t>
      </w:r>
      <w:r>
        <w:rPr>
          <w:szCs w:val="21"/>
        </w:rPr>
        <w:t>若驾驶室内部无任何可能使人致伤的锐角、利棱或尖锐凸起物判定合格。</w:t>
      </w:r>
    </w:p>
    <w:p w14:paraId="4ECF3A69">
      <w:pPr>
        <w:spacing w:line="360" w:lineRule="exact"/>
        <w:ind w:firstLine="420" w:firstLineChars="200"/>
        <w:rPr>
          <w:szCs w:val="21"/>
        </w:rPr>
      </w:pPr>
      <w:r>
        <w:rPr>
          <w:szCs w:val="21"/>
        </w:rPr>
        <w:t>常规线性尺寸量具测量座椅后部最上端与驾驶室后壁平面的间距是否合格。测量时应将前后位置可调</w:t>
      </w:r>
      <w:r>
        <w:rPr>
          <w:rFonts w:hint="eastAsia"/>
          <w:szCs w:val="21"/>
        </w:rPr>
        <w:t>式</w:t>
      </w:r>
      <w:r>
        <w:rPr>
          <w:szCs w:val="21"/>
        </w:rPr>
        <w:t>座椅处于滑轨中间位置，靠背角度可调式座椅的靠背角度及座椅其他调整量应处于制造厂规定的正常使用位置后再进行测量。</w:t>
      </w:r>
      <w:r>
        <w:rPr>
          <w:rFonts w:hint="eastAsia"/>
          <w:szCs w:val="21"/>
        </w:rPr>
        <w:t>位置及靠背角度固定式座椅可直接测量</w:t>
      </w:r>
      <w:r>
        <w:rPr>
          <w:szCs w:val="21"/>
        </w:rPr>
        <w:t>座椅后部最上端与驾驶室后壁平面的间距</w:t>
      </w:r>
      <w:r>
        <w:rPr>
          <w:rFonts w:hint="eastAsia"/>
          <w:szCs w:val="21"/>
        </w:rPr>
        <w:t>。</w:t>
      </w:r>
    </w:p>
    <w:p w14:paraId="7E99BEF3">
      <w:pPr>
        <w:pStyle w:val="6"/>
        <w:spacing w:before="156" w:beforeLines="50" w:after="156" w:afterLines="50" w:line="360" w:lineRule="exact"/>
        <w:rPr>
          <w:rFonts w:ascii="黑体" w:hAnsi="黑体" w:eastAsia="黑体"/>
        </w:rPr>
      </w:pPr>
      <w:r>
        <w:rPr>
          <w:rFonts w:ascii="黑体" w:hAnsi="黑体" w:eastAsia="黑体"/>
        </w:rPr>
        <w:t>6.2.2  座椅（位）</w:t>
      </w:r>
    </w:p>
    <w:p w14:paraId="78249418">
      <w:pPr>
        <w:spacing w:line="360" w:lineRule="exact"/>
        <w:ind w:firstLine="420" w:firstLineChars="200"/>
        <w:rPr>
          <w:szCs w:val="21"/>
        </w:rPr>
      </w:pPr>
      <w:r>
        <w:rPr>
          <w:rFonts w:hint="eastAsia"/>
          <w:szCs w:val="21"/>
        </w:rPr>
        <w:t>采用</w:t>
      </w:r>
      <w:r>
        <w:rPr>
          <w:szCs w:val="21"/>
        </w:rPr>
        <w:t>目测</w:t>
      </w:r>
      <w:r>
        <w:rPr>
          <w:rFonts w:hint="eastAsia"/>
          <w:szCs w:val="21"/>
        </w:rPr>
        <w:t>及手感方式，</w:t>
      </w:r>
      <w:r>
        <w:rPr>
          <w:szCs w:val="21"/>
        </w:rPr>
        <w:t>若座位后部相邻部件具有平滑的表面、座位靠背各面交界无棱边则判定无剪切或挤压处。</w:t>
      </w:r>
    </w:p>
    <w:p w14:paraId="05ACEAEB">
      <w:pPr>
        <w:spacing w:line="360" w:lineRule="exact"/>
        <w:ind w:firstLine="420" w:firstLineChars="200"/>
        <w:rPr>
          <w:szCs w:val="21"/>
        </w:rPr>
      </w:pPr>
      <w:r>
        <w:rPr>
          <w:szCs w:val="21"/>
        </w:rPr>
        <w:t>常规线性尺寸量具检查座椅调整量、坐垫宽度、座椅深度等项目是否合格。</w:t>
      </w:r>
    </w:p>
    <w:p w14:paraId="55348FB6">
      <w:pPr>
        <w:spacing w:line="360" w:lineRule="exact"/>
        <w:ind w:firstLine="420" w:firstLineChars="200"/>
      </w:pPr>
      <w:r>
        <w:rPr>
          <w:rFonts w:hint="eastAsia"/>
          <w:szCs w:val="21"/>
        </w:rPr>
        <w:t>按设计要求沿</w:t>
      </w:r>
      <w:r>
        <w:t>水平（纵向）方向</w:t>
      </w:r>
      <w:r>
        <w:rPr>
          <w:rFonts w:hint="eastAsia"/>
          <w:szCs w:val="21"/>
        </w:rPr>
        <w:t>调整座椅到滑轨最前端及最后端，并测量两者之间的水平距离，取测量值的二分之一作为</w:t>
      </w:r>
      <w:r>
        <w:rPr>
          <w:szCs w:val="21"/>
        </w:rPr>
        <w:t>座椅</w:t>
      </w:r>
      <w:r>
        <w:t>调整量</w:t>
      </w:r>
      <w:r>
        <w:rPr>
          <w:rFonts w:hint="eastAsia"/>
          <w:szCs w:val="21"/>
        </w:rPr>
        <w:t>的实测值。</w:t>
      </w:r>
      <w:r>
        <w:t>座椅（位）</w:t>
      </w:r>
      <w:r>
        <w:rPr>
          <w:rFonts w:hint="eastAsia"/>
          <w:szCs w:val="21"/>
        </w:rPr>
        <w:t>调整过程中判断</w:t>
      </w:r>
      <w:r>
        <w:rPr>
          <w:rFonts w:hint="eastAsia"/>
        </w:rPr>
        <w:t>是否</w:t>
      </w:r>
      <w:r>
        <w:t>有挤压</w:t>
      </w:r>
      <w:r>
        <w:rPr>
          <w:rFonts w:hint="eastAsia"/>
        </w:rPr>
        <w:t>危险。</w:t>
      </w:r>
    </w:p>
    <w:p w14:paraId="66BF70C0">
      <w:pPr>
        <w:spacing w:line="360" w:lineRule="exact"/>
        <w:ind w:firstLine="420" w:firstLineChars="200"/>
        <w:rPr>
          <w:szCs w:val="21"/>
        </w:rPr>
      </w:pPr>
      <w:r>
        <w:rPr>
          <w:szCs w:val="21"/>
        </w:rPr>
        <w:t>座椅坐垫未被压陷时，在坐垫前端以后200</w:t>
      </w:r>
      <w:r>
        <w:rPr>
          <w:rFonts w:hint="eastAsia"/>
          <w:szCs w:val="21"/>
        </w:rPr>
        <w:t xml:space="preserve"> </w:t>
      </w:r>
      <w:r>
        <w:rPr>
          <w:szCs w:val="21"/>
        </w:rPr>
        <w:t>mm处坐垫上表面测量宽度数值</w:t>
      </w:r>
      <w:r>
        <w:rPr>
          <w:rFonts w:hint="eastAsia"/>
          <w:szCs w:val="21"/>
        </w:rPr>
        <w:t>作为</w:t>
      </w:r>
      <w:r>
        <w:t>座椅</w:t>
      </w:r>
      <w:r>
        <w:rPr>
          <w:szCs w:val="21"/>
        </w:rPr>
        <w:t>宽度</w:t>
      </w:r>
      <w:r>
        <w:rPr>
          <w:rFonts w:hint="eastAsia"/>
          <w:szCs w:val="21"/>
        </w:rPr>
        <w:t>。</w:t>
      </w:r>
      <w:r>
        <w:rPr>
          <w:szCs w:val="21"/>
        </w:rPr>
        <w:t>座椅</w:t>
      </w:r>
      <w:r>
        <w:rPr>
          <w:rFonts w:hint="eastAsia"/>
          <w:szCs w:val="21"/>
        </w:rPr>
        <w:t>深度应</w:t>
      </w:r>
      <w:r>
        <w:rPr>
          <w:szCs w:val="21"/>
        </w:rPr>
        <w:t>在由制造厂设定的座椅前后位置和靠背角状态</w:t>
      </w:r>
      <w:r>
        <w:rPr>
          <w:rFonts w:hint="eastAsia"/>
          <w:szCs w:val="21"/>
        </w:rPr>
        <w:t>，</w:t>
      </w:r>
      <w:r>
        <w:rPr>
          <w:szCs w:val="21"/>
        </w:rPr>
        <w:t>座椅座垫和靠背均未被压陷时</w:t>
      </w:r>
      <w:r>
        <w:rPr>
          <w:rFonts w:hint="eastAsia"/>
          <w:szCs w:val="21"/>
        </w:rPr>
        <w:t>，</w:t>
      </w:r>
      <w:r>
        <w:rPr>
          <w:szCs w:val="21"/>
        </w:rPr>
        <w:t>在座垫宽度方向中间位置、沿座垫平面测得的座垫最前端至座垫靠背垂直投影面的距离</w:t>
      </w:r>
      <w:r>
        <w:rPr>
          <w:rFonts w:hint="eastAsia"/>
          <w:szCs w:val="21"/>
        </w:rPr>
        <w:t>。测量示意图见图2。</w:t>
      </w:r>
    </w:p>
    <w:p w14:paraId="70B4B8F4">
      <w:pPr>
        <w:spacing w:line="360" w:lineRule="exact"/>
        <w:ind w:firstLine="420" w:firstLineChars="200"/>
        <w:rPr>
          <w:szCs w:val="21"/>
        </w:rPr>
      </w:pPr>
    </w:p>
    <w:p w14:paraId="754FB4CC">
      <w:pPr>
        <w:jc w:val="center"/>
        <w:rPr>
          <w:szCs w:val="21"/>
        </w:rPr>
      </w:pPr>
      <w:r>
        <w:drawing>
          <wp:inline distT="0" distB="0" distL="0" distR="0">
            <wp:extent cx="1707515" cy="1621155"/>
            <wp:effectExtent l="0" t="0" r="6985" b="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10206" cy="1623375"/>
                    </a:xfrm>
                    <a:prstGeom prst="rect">
                      <a:avLst/>
                    </a:prstGeom>
                    <a:noFill/>
                    <a:ln>
                      <a:noFill/>
                    </a:ln>
                  </pic:spPr>
                </pic:pic>
              </a:graphicData>
            </a:graphic>
          </wp:inline>
        </w:drawing>
      </w:r>
    </w:p>
    <w:p w14:paraId="3075DDD2">
      <w:pPr>
        <w:pStyle w:val="6"/>
        <w:spacing w:before="156" w:beforeLines="50" w:after="156" w:afterLines="50" w:line="360" w:lineRule="exact"/>
        <w:jc w:val="center"/>
        <w:rPr>
          <w:rFonts w:ascii="黑体" w:hAnsi="黑体" w:eastAsia="黑体" w:cs="黑体"/>
          <w:szCs w:val="21"/>
        </w:rPr>
      </w:pPr>
      <w:r>
        <w:rPr>
          <w:rFonts w:hint="eastAsia" w:ascii="黑体" w:hAnsi="黑体" w:eastAsia="黑体" w:cs="黑体"/>
        </w:rPr>
        <w:t>图2 座椅</w:t>
      </w:r>
      <w:r>
        <w:rPr>
          <w:rFonts w:hint="eastAsia" w:ascii="黑体" w:hAnsi="黑体" w:eastAsia="黑体" w:cs="黑体"/>
          <w:szCs w:val="21"/>
        </w:rPr>
        <w:t>宽度和座椅深度测量示意图</w:t>
      </w:r>
    </w:p>
    <w:p w14:paraId="255E7C1A">
      <w:pPr>
        <w:pStyle w:val="6"/>
        <w:spacing w:before="156" w:beforeLines="50" w:after="156" w:afterLines="50" w:line="360" w:lineRule="exact"/>
        <w:rPr>
          <w:rFonts w:ascii="黑体" w:hAnsi="黑体" w:eastAsia="黑体"/>
        </w:rPr>
      </w:pPr>
      <w:r>
        <w:rPr>
          <w:rFonts w:ascii="黑体" w:hAnsi="黑体" w:eastAsia="黑体"/>
        </w:rPr>
        <w:t>6.2.3  转向盘（方向把）</w:t>
      </w:r>
    </w:p>
    <w:p w14:paraId="5612AA5F">
      <w:pPr>
        <w:spacing w:line="360" w:lineRule="exact"/>
        <w:ind w:firstLine="420" w:firstLineChars="200"/>
        <w:rPr>
          <w:szCs w:val="21"/>
        </w:rPr>
      </w:pPr>
      <w:r>
        <w:rPr>
          <w:szCs w:val="21"/>
        </w:rPr>
        <w:t>用常规线性尺寸量具检查是否合格。</w:t>
      </w:r>
    </w:p>
    <w:p w14:paraId="783BB7A8">
      <w:pPr>
        <w:spacing w:line="360" w:lineRule="exact"/>
        <w:ind w:firstLine="420" w:firstLineChars="200"/>
        <w:rPr>
          <w:szCs w:val="21"/>
        </w:rPr>
      </w:pPr>
      <w:r>
        <w:rPr>
          <w:szCs w:val="21"/>
        </w:rPr>
        <w:t>偏置量</w:t>
      </w:r>
      <w:r>
        <w:rPr>
          <w:rFonts w:hint="eastAsia"/>
          <w:szCs w:val="21"/>
        </w:rPr>
        <w:t>应测量</w:t>
      </w:r>
      <w:r>
        <w:rPr>
          <w:szCs w:val="21"/>
        </w:rPr>
        <w:t>转向盘（方向把）中心</w:t>
      </w:r>
      <w:r>
        <w:rPr>
          <w:rFonts w:hint="eastAsia"/>
          <w:szCs w:val="21"/>
        </w:rPr>
        <w:t>平面与</w:t>
      </w:r>
      <w:r>
        <w:rPr>
          <w:szCs w:val="21"/>
        </w:rPr>
        <w:t>主座椅（位）纵向中心</w:t>
      </w:r>
      <w:r>
        <w:rPr>
          <w:rFonts w:hint="eastAsia"/>
          <w:szCs w:val="21"/>
        </w:rPr>
        <w:t>平面间的水平距离。</w:t>
      </w:r>
    </w:p>
    <w:p w14:paraId="4AE0BEB2">
      <w:pPr>
        <w:spacing w:line="360" w:lineRule="exact"/>
        <w:ind w:firstLine="420" w:firstLineChars="200"/>
        <w:rPr>
          <w:szCs w:val="21"/>
        </w:rPr>
      </w:pPr>
      <w:r>
        <w:rPr>
          <w:szCs w:val="21"/>
        </w:rPr>
        <w:t>转向盘（方向把）与相邻部件之间的间隙</w:t>
      </w:r>
      <w:r>
        <w:rPr>
          <w:rFonts w:hint="eastAsia"/>
          <w:szCs w:val="21"/>
        </w:rPr>
        <w:t>应测量</w:t>
      </w:r>
      <w:r>
        <w:rPr>
          <w:szCs w:val="21"/>
        </w:rPr>
        <w:t>转向盘（方向把）</w:t>
      </w:r>
      <w:r>
        <w:rPr>
          <w:rFonts w:hint="eastAsia"/>
          <w:szCs w:val="21"/>
        </w:rPr>
        <w:t>转动到左右最大转角范围</w:t>
      </w:r>
      <w:r>
        <w:rPr>
          <w:szCs w:val="21"/>
        </w:rPr>
        <w:t>与</w:t>
      </w:r>
      <w:r>
        <w:rPr>
          <w:rFonts w:hint="eastAsia"/>
          <w:szCs w:val="21"/>
        </w:rPr>
        <w:t>固定部位</w:t>
      </w:r>
      <w:r>
        <w:rPr>
          <w:szCs w:val="21"/>
        </w:rPr>
        <w:t>之间</w:t>
      </w:r>
      <w:r>
        <w:rPr>
          <w:rFonts w:hint="eastAsia"/>
          <w:szCs w:val="21"/>
        </w:rPr>
        <w:t>的最小距离，测量示意图见图3。</w:t>
      </w:r>
      <w:r>
        <w:rPr>
          <w:szCs w:val="21"/>
        </w:rPr>
        <w:t>转向盘</w:t>
      </w:r>
      <w:r>
        <w:rPr>
          <w:rFonts w:hint="eastAsia"/>
          <w:szCs w:val="21"/>
        </w:rPr>
        <w:t>可调的三轮汽车，应将</w:t>
      </w:r>
      <w:r>
        <w:rPr>
          <w:szCs w:val="21"/>
        </w:rPr>
        <w:t>转向盘</w:t>
      </w:r>
      <w:r>
        <w:rPr>
          <w:rFonts w:hint="eastAsia"/>
          <w:szCs w:val="21"/>
        </w:rPr>
        <w:t>调整至正常操作位置时测量。</w:t>
      </w:r>
    </w:p>
    <w:p w14:paraId="5DE6065F">
      <w:pPr>
        <w:spacing w:line="360" w:lineRule="exact"/>
        <w:ind w:firstLine="420" w:firstLineChars="200"/>
      </w:pPr>
    </w:p>
    <w:p w14:paraId="734561E3">
      <w:pPr>
        <w:jc w:val="center"/>
      </w:pPr>
      <w:r>
        <w:drawing>
          <wp:inline distT="0" distB="0" distL="0" distR="0">
            <wp:extent cx="2147570" cy="2141855"/>
            <wp:effectExtent l="0" t="0" r="5080" b="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7" cstate="print">
                      <a:extLst>
                        <a:ext uri="{28A0092B-C50C-407E-A947-70E740481C1C}">
                          <a14:useLocalDpi xmlns:a14="http://schemas.microsoft.com/office/drawing/2010/main" val="0"/>
                        </a:ext>
                      </a:extLst>
                    </a:blip>
                    <a:srcRect t="1697"/>
                    <a:stretch>
                      <a:fillRect/>
                    </a:stretch>
                  </pic:blipFill>
                  <pic:spPr>
                    <a:xfrm>
                      <a:off x="0" y="0"/>
                      <a:ext cx="2160680" cy="2154756"/>
                    </a:xfrm>
                    <a:prstGeom prst="trapezoid">
                      <a:avLst/>
                    </a:prstGeom>
                    <a:noFill/>
                    <a:ln>
                      <a:noFill/>
                    </a:ln>
                  </pic:spPr>
                </pic:pic>
              </a:graphicData>
            </a:graphic>
          </wp:inline>
        </w:drawing>
      </w:r>
    </w:p>
    <w:p w14:paraId="783C065D">
      <w:pPr>
        <w:spacing w:line="360" w:lineRule="exact"/>
        <w:ind w:firstLine="420" w:firstLineChars="200"/>
        <w:jc w:val="center"/>
      </w:pPr>
      <w:r>
        <w:rPr>
          <w:rFonts w:hint="eastAsia" w:ascii="黑体" w:hAnsi="黑体" w:eastAsia="黑体" w:cs="黑体"/>
        </w:rPr>
        <w:t xml:space="preserve">图3 </w:t>
      </w:r>
      <w:r>
        <w:rPr>
          <w:rFonts w:hint="eastAsia" w:ascii="黑体" w:hAnsi="黑体" w:eastAsia="黑体" w:cs="黑体"/>
          <w:szCs w:val="21"/>
        </w:rPr>
        <w:t>转向盘（方向把）和</w:t>
      </w:r>
      <w:r>
        <w:rPr>
          <w:rFonts w:ascii="黑体" w:hAnsi="黑体" w:eastAsia="黑体" w:cs="黑体"/>
          <w:szCs w:val="21"/>
        </w:rPr>
        <w:t>相邻部件</w:t>
      </w:r>
      <w:r>
        <w:rPr>
          <w:rFonts w:hint="eastAsia" w:ascii="黑体" w:hAnsi="黑体" w:eastAsia="黑体" w:cs="黑体"/>
          <w:szCs w:val="21"/>
        </w:rPr>
        <w:t>之间的间隙测量示意图</w:t>
      </w:r>
    </w:p>
    <w:p w14:paraId="658FAC5A">
      <w:pPr>
        <w:pStyle w:val="6"/>
        <w:spacing w:before="156" w:beforeLines="50" w:after="156" w:afterLines="50" w:line="360" w:lineRule="exact"/>
        <w:rPr>
          <w:rFonts w:ascii="黑体" w:hAnsi="黑体" w:eastAsia="黑体"/>
        </w:rPr>
      </w:pPr>
      <w:r>
        <w:rPr>
          <w:rFonts w:ascii="黑体" w:hAnsi="黑体" w:eastAsia="黑体"/>
        </w:rPr>
        <w:t>6.2.4  操纵机构</w:t>
      </w:r>
    </w:p>
    <w:p w14:paraId="5F62A7DA">
      <w:pPr>
        <w:spacing w:line="360" w:lineRule="exact"/>
        <w:ind w:firstLine="420" w:firstLineChars="200"/>
        <w:rPr>
          <w:szCs w:val="21"/>
        </w:rPr>
      </w:pPr>
      <w:r>
        <w:rPr>
          <w:szCs w:val="21"/>
        </w:rPr>
        <w:t>在驾驶座位上观察各操纵机构的布置和配置是否合理，操纵是否安全和方便，</w:t>
      </w:r>
      <w:r>
        <w:rPr>
          <w:rFonts w:hint="eastAsia"/>
          <w:szCs w:val="21"/>
        </w:rPr>
        <w:t>有无</w:t>
      </w:r>
      <w:r>
        <w:t>剪切和挤压</w:t>
      </w:r>
      <w:r>
        <w:rPr>
          <w:rFonts w:hint="eastAsia"/>
        </w:rPr>
        <w:t>，</w:t>
      </w:r>
      <w:r>
        <w:rPr>
          <w:szCs w:val="21"/>
        </w:rPr>
        <w:t>安全操作标志是否规范且清晰易见。踏板、踏脚板是否采取防滑措施。</w:t>
      </w:r>
      <w:r>
        <w:rPr>
          <w:rFonts w:hint="eastAsia"/>
          <w:szCs w:val="21"/>
        </w:rPr>
        <w:t>检查说明书是否有</w:t>
      </w:r>
      <w:r>
        <w:t>所有操纵机构的操作说明</w:t>
      </w:r>
      <w:r>
        <w:rPr>
          <w:rFonts w:hint="eastAsia"/>
        </w:rPr>
        <w:t>。</w:t>
      </w:r>
    </w:p>
    <w:p w14:paraId="6E72645C">
      <w:pPr>
        <w:spacing w:line="360" w:lineRule="exact"/>
        <w:ind w:firstLine="420" w:firstLineChars="200"/>
        <w:rPr>
          <w:szCs w:val="21"/>
        </w:rPr>
      </w:pPr>
      <w:r>
        <w:rPr>
          <w:szCs w:val="21"/>
        </w:rPr>
        <w:t>用目测检查或常规线性尺寸量具、拉力计等设备检查操纵机构的其他要求是否合格。</w:t>
      </w:r>
      <w:r>
        <w:rPr>
          <w:rFonts w:hint="eastAsia"/>
          <w:szCs w:val="21"/>
        </w:rPr>
        <w:t>测量示意图见图4。</w:t>
      </w:r>
    </w:p>
    <w:p w14:paraId="3D35227D">
      <w:pPr>
        <w:spacing w:line="360" w:lineRule="exact"/>
        <w:rPr>
          <w:szCs w:val="21"/>
        </w:rPr>
      </w:pPr>
    </w:p>
    <w:p w14:paraId="19BB3AFB">
      <w:pPr>
        <w:pStyle w:val="62"/>
      </w:pPr>
      <w:r>
        <w:drawing>
          <wp:inline distT="0" distB="0" distL="114300" distR="114300">
            <wp:extent cx="2773045" cy="1693545"/>
            <wp:effectExtent l="0" t="0" r="8255" b="825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18"/>
                    <a:srcRect l="3410"/>
                    <a:stretch>
                      <a:fillRect/>
                    </a:stretch>
                  </pic:blipFill>
                  <pic:spPr>
                    <a:xfrm>
                      <a:off x="0" y="0"/>
                      <a:ext cx="2773045" cy="1693545"/>
                    </a:xfrm>
                    <a:prstGeom prst="rect">
                      <a:avLst/>
                    </a:prstGeom>
                    <a:noFill/>
                    <a:ln>
                      <a:noFill/>
                    </a:ln>
                  </pic:spPr>
                </pic:pic>
              </a:graphicData>
            </a:graphic>
          </wp:inline>
        </w:drawing>
      </w:r>
    </w:p>
    <w:p w14:paraId="1CDB90C9">
      <w:pPr>
        <w:pStyle w:val="4"/>
        <w:spacing w:before="156" w:after="156"/>
      </w:pPr>
      <w:r>
        <w:rPr>
          <w:rFonts w:hint="eastAsia"/>
        </w:rPr>
        <w:t>图4  手动操纵机构的周围间隙</w:t>
      </w:r>
    </w:p>
    <w:p w14:paraId="3917CCF1">
      <w:pPr>
        <w:pStyle w:val="6"/>
        <w:spacing w:before="156" w:beforeLines="50" w:after="156" w:afterLines="50" w:line="360" w:lineRule="exact"/>
        <w:rPr>
          <w:rFonts w:ascii="黑体" w:hAnsi="黑体" w:eastAsia="黑体"/>
        </w:rPr>
      </w:pPr>
      <w:r>
        <w:rPr>
          <w:rFonts w:ascii="黑体" w:hAnsi="黑体" w:eastAsia="黑体"/>
        </w:rPr>
        <w:t>6.2.5  进出驾驶室的通道</w:t>
      </w:r>
    </w:p>
    <w:p w14:paraId="396E2DBA">
      <w:pPr>
        <w:spacing w:line="360" w:lineRule="exact"/>
        <w:ind w:firstLine="420" w:firstLineChars="200"/>
        <w:rPr>
          <w:szCs w:val="21"/>
        </w:rPr>
      </w:pPr>
      <w:r>
        <w:rPr>
          <w:szCs w:val="21"/>
        </w:rPr>
        <w:t>用目测</w:t>
      </w:r>
      <w:r>
        <w:rPr>
          <w:rFonts w:hint="eastAsia"/>
          <w:szCs w:val="21"/>
        </w:rPr>
        <w:t>检查进出通道是否有</w:t>
      </w:r>
      <w:r>
        <w:t>影响驾驶员通过的操纵机构</w:t>
      </w:r>
      <w:r>
        <w:rPr>
          <w:rFonts w:hint="eastAsia"/>
        </w:rPr>
        <w:t>，并用</w:t>
      </w:r>
      <w:r>
        <w:rPr>
          <w:szCs w:val="21"/>
        </w:rPr>
        <w:t>常规线性尺寸量具</w:t>
      </w:r>
      <w:r>
        <w:rPr>
          <w:rFonts w:hint="eastAsia"/>
          <w:szCs w:val="21"/>
        </w:rPr>
        <w:t>检查通道尺寸</w:t>
      </w:r>
      <w:r>
        <w:rPr>
          <w:szCs w:val="21"/>
        </w:rPr>
        <w:t>是否合格。</w:t>
      </w:r>
    </w:p>
    <w:p w14:paraId="062FEC76">
      <w:pPr>
        <w:spacing w:line="360" w:lineRule="exact"/>
        <w:ind w:firstLine="420" w:firstLineChars="200"/>
      </w:pPr>
      <w:r>
        <w:t>进出驾驶座位的通道</w:t>
      </w:r>
      <w:r>
        <w:rPr>
          <w:rFonts w:hint="eastAsia"/>
        </w:rPr>
        <w:t>应测量</w:t>
      </w:r>
      <w:r>
        <w:rPr>
          <w:szCs w:val="21"/>
        </w:rPr>
        <w:t>座椅坐垫未被压陷时</w:t>
      </w:r>
      <w:r>
        <w:rPr>
          <w:rFonts w:hint="eastAsia"/>
          <w:szCs w:val="21"/>
        </w:rPr>
        <w:t>，</w:t>
      </w:r>
      <w:r>
        <w:rPr>
          <w:szCs w:val="21"/>
        </w:rPr>
        <w:t>沿座垫平面测得的座垫最前端至</w:t>
      </w:r>
      <w:r>
        <w:rPr>
          <w:rFonts w:hint="eastAsia"/>
          <w:szCs w:val="21"/>
        </w:rPr>
        <w:t>最近处固定件间的水平距离。</w:t>
      </w:r>
      <w:r>
        <w:rPr>
          <w:rFonts w:hint="eastAsia"/>
        </w:rPr>
        <w:t>全封闭驾驶室通道应在</w:t>
      </w:r>
      <w:r>
        <w:t>车门打开时，</w:t>
      </w:r>
      <w:r>
        <w:rPr>
          <w:rFonts w:hint="eastAsia"/>
        </w:rPr>
        <w:t>测量</w:t>
      </w:r>
      <w:r>
        <w:t>车门上部</w:t>
      </w:r>
      <w:r>
        <w:rPr>
          <w:rFonts w:hint="eastAsia"/>
        </w:rPr>
        <w:t>和</w:t>
      </w:r>
      <w:r>
        <w:t>下部</w:t>
      </w:r>
      <w:r>
        <w:rPr>
          <w:rFonts w:hint="eastAsia"/>
        </w:rPr>
        <w:t>最小</w:t>
      </w:r>
      <w:r>
        <w:t>宽度。</w:t>
      </w:r>
    </w:p>
    <w:p w14:paraId="1FB8BE64">
      <w:pPr>
        <w:pStyle w:val="6"/>
        <w:spacing w:before="156" w:beforeLines="50" w:after="156" w:afterLines="50" w:line="360" w:lineRule="exact"/>
        <w:rPr>
          <w:rFonts w:ascii="黑体" w:hAnsi="黑体" w:eastAsia="黑体"/>
        </w:rPr>
      </w:pPr>
      <w:r>
        <w:rPr>
          <w:rFonts w:ascii="黑体" w:hAnsi="黑体" w:eastAsia="黑体"/>
        </w:rPr>
        <w:t>6.2.6  车身、车门和车窗</w:t>
      </w:r>
    </w:p>
    <w:p w14:paraId="4AB250DF">
      <w:pPr>
        <w:spacing w:line="360" w:lineRule="exact"/>
        <w:ind w:firstLine="420" w:firstLineChars="200"/>
        <w:rPr>
          <w:szCs w:val="21"/>
        </w:rPr>
      </w:pPr>
      <w:r>
        <w:rPr>
          <w:szCs w:val="21"/>
        </w:rPr>
        <w:t>用目测</w:t>
      </w:r>
      <w:r>
        <w:rPr>
          <w:rFonts w:hint="eastAsia"/>
          <w:szCs w:val="21"/>
        </w:rPr>
        <w:t>检查车身、车门、车窗</w:t>
      </w:r>
      <w:r>
        <w:rPr>
          <w:szCs w:val="21"/>
        </w:rPr>
        <w:t>是否合格</w:t>
      </w:r>
      <w:r>
        <w:rPr>
          <w:rFonts w:hint="eastAsia"/>
          <w:szCs w:val="21"/>
        </w:rPr>
        <w:t>，门窗玻璃是否有3C标记。用</w:t>
      </w:r>
      <w:r>
        <w:rPr>
          <w:szCs w:val="21"/>
        </w:rPr>
        <w:t>常规线性尺寸量具</w:t>
      </w:r>
      <w:r>
        <w:rPr>
          <w:rFonts w:hint="eastAsia"/>
          <w:szCs w:val="21"/>
        </w:rPr>
        <w:t>测量</w:t>
      </w:r>
      <w:r>
        <w:rPr>
          <w:lang w:bidi="ar"/>
        </w:rPr>
        <w:t>仓栅式三轮汽车顶棚杆间的</w:t>
      </w:r>
      <w:r>
        <w:rPr>
          <w:rFonts w:hint="eastAsia"/>
          <w:lang w:bidi="ar"/>
        </w:rPr>
        <w:t>最小</w:t>
      </w:r>
      <w:r>
        <w:rPr>
          <w:lang w:bidi="ar"/>
        </w:rPr>
        <w:t>纵向距离</w:t>
      </w:r>
      <w:r>
        <w:rPr>
          <w:rFonts w:hint="eastAsia"/>
          <w:lang w:bidi="ar"/>
        </w:rPr>
        <w:t>是否合格</w:t>
      </w:r>
      <w:r>
        <w:rPr>
          <w:szCs w:val="21"/>
        </w:rPr>
        <w:t>。</w:t>
      </w:r>
    </w:p>
    <w:p w14:paraId="0185C72F">
      <w:pPr>
        <w:pStyle w:val="6"/>
        <w:spacing w:before="156" w:beforeLines="50" w:after="156" w:afterLines="50" w:line="360" w:lineRule="exact"/>
        <w:rPr>
          <w:rFonts w:ascii="黑体" w:hAnsi="黑体" w:eastAsia="黑体"/>
        </w:rPr>
      </w:pPr>
      <w:r>
        <w:rPr>
          <w:rFonts w:hint="eastAsia" w:ascii="黑体" w:hAnsi="黑体" w:eastAsia="黑体"/>
        </w:rPr>
        <w:t>6</w:t>
      </w:r>
      <w:r>
        <w:rPr>
          <w:rFonts w:ascii="黑体" w:hAnsi="黑体" w:eastAsia="黑体"/>
        </w:rPr>
        <w:t>.2.7  内饰材料</w:t>
      </w:r>
    </w:p>
    <w:p w14:paraId="2DB2A9DC">
      <w:pPr>
        <w:spacing w:line="360" w:lineRule="exact"/>
        <w:ind w:firstLine="420" w:firstLineChars="200"/>
        <w:rPr>
          <w:szCs w:val="21"/>
        </w:rPr>
      </w:pPr>
      <w:r>
        <w:rPr>
          <w:szCs w:val="21"/>
        </w:rPr>
        <w:t>驾驶室内饰材料的</w:t>
      </w:r>
      <w:r>
        <w:rPr>
          <w:rFonts w:hint="eastAsia"/>
          <w:szCs w:val="21"/>
        </w:rPr>
        <w:t>燃烧速度</w:t>
      </w:r>
      <w:r>
        <w:rPr>
          <w:szCs w:val="21"/>
        </w:rPr>
        <w:t>按GB 8410的要求进行测量。</w:t>
      </w:r>
    </w:p>
    <w:p w14:paraId="79A763B0">
      <w:pPr>
        <w:pStyle w:val="6"/>
        <w:spacing w:before="156" w:beforeLines="50" w:after="156" w:afterLines="50" w:line="360" w:lineRule="exact"/>
        <w:rPr>
          <w:rFonts w:ascii="黑体" w:hAnsi="黑体" w:eastAsia="黑体"/>
        </w:rPr>
      </w:pPr>
      <w:r>
        <w:rPr>
          <w:rFonts w:ascii="黑体" w:hAnsi="黑体" w:eastAsia="黑体"/>
        </w:rPr>
        <w:t>6.3  稳定性</w:t>
      </w:r>
    </w:p>
    <w:p w14:paraId="748DAEC9">
      <w:pPr>
        <w:spacing w:line="360" w:lineRule="exact"/>
        <w:rPr>
          <w:szCs w:val="21"/>
        </w:rPr>
      </w:pPr>
      <w:r>
        <w:rPr>
          <w:szCs w:val="21"/>
        </w:rPr>
        <w:t>6.3.1  用常规线性尺寸量具测量三轮汽车后悬和轴距，计算并判定后悬与轴距的比值是否合格。</w:t>
      </w:r>
    </w:p>
    <w:p w14:paraId="37B1EF8D">
      <w:pPr>
        <w:spacing w:line="360" w:lineRule="exact"/>
        <w:rPr>
          <w:szCs w:val="21"/>
        </w:rPr>
      </w:pPr>
      <w:r>
        <w:rPr>
          <w:szCs w:val="21"/>
        </w:rPr>
        <w:t>6.3.2  在满载和空载状态下，按GB/T 23931-2021中5.2.2的规定测量三轮汽车转向轮载质量、整备质量、最大允许总质量，并判定计算转向轮轮荷比是否合格。</w:t>
      </w:r>
    </w:p>
    <w:p w14:paraId="1E664ED8">
      <w:pPr>
        <w:spacing w:line="360" w:lineRule="exact"/>
        <w:rPr>
          <w:szCs w:val="21"/>
        </w:rPr>
      </w:pPr>
      <w:r>
        <w:rPr>
          <w:szCs w:val="21"/>
        </w:rPr>
        <w:t>6.3.3  在空载、静态状态下，三轮汽车向左侧和右侧倾斜最大侧倾稳定角按GB/T 19133的规定测量并判定是否合格。</w:t>
      </w:r>
    </w:p>
    <w:p w14:paraId="27566745">
      <w:pPr>
        <w:pStyle w:val="6"/>
        <w:spacing w:before="156" w:beforeLines="50" w:after="156" w:afterLines="50" w:line="360" w:lineRule="exact"/>
        <w:rPr>
          <w:rFonts w:ascii="黑体" w:hAnsi="黑体" w:eastAsia="黑体"/>
        </w:rPr>
      </w:pPr>
      <w:r>
        <w:rPr>
          <w:rFonts w:ascii="黑体" w:hAnsi="黑体" w:eastAsia="黑体"/>
        </w:rPr>
        <w:t>6.4  操纵控制系统</w:t>
      </w:r>
    </w:p>
    <w:p w14:paraId="6411407C">
      <w:pPr>
        <w:pStyle w:val="6"/>
        <w:spacing w:before="156" w:beforeLines="50" w:after="156" w:afterLines="50" w:line="360" w:lineRule="exact"/>
        <w:rPr>
          <w:rFonts w:ascii="黑体" w:hAnsi="黑体" w:eastAsia="黑体"/>
        </w:rPr>
      </w:pPr>
      <w:r>
        <w:rPr>
          <w:rFonts w:ascii="黑体" w:hAnsi="黑体" w:eastAsia="黑体"/>
        </w:rPr>
        <w:t>6.4.1  起动开关和油门控制机构</w:t>
      </w:r>
    </w:p>
    <w:p w14:paraId="2F23EE22">
      <w:pPr>
        <w:spacing w:line="360" w:lineRule="exact"/>
        <w:rPr>
          <w:szCs w:val="21"/>
        </w:rPr>
      </w:pPr>
      <w:r>
        <w:rPr>
          <w:szCs w:val="21"/>
        </w:rPr>
        <w:t xml:space="preserve">    </w:t>
      </w:r>
      <w:r>
        <w:rPr>
          <w:rFonts w:hint="eastAsia"/>
          <w:szCs w:val="21"/>
        </w:rPr>
        <w:t>目测</w:t>
      </w:r>
      <w:r>
        <w:rPr>
          <w:rFonts w:eastAsia="方正书宋简体"/>
        </w:rPr>
        <w:t>起动开关各位置的功能、操作方</w:t>
      </w:r>
      <w:r>
        <w:rPr>
          <w:rFonts w:hint="eastAsia" w:eastAsia="方正书宋简体"/>
        </w:rPr>
        <w:t>向及颜色，并</w:t>
      </w:r>
      <w:r>
        <w:rPr>
          <w:szCs w:val="21"/>
        </w:rPr>
        <w:t>操作起动开关、停机装置和油门等控制机构</w:t>
      </w:r>
      <w:r>
        <w:rPr>
          <w:rFonts w:hint="eastAsia"/>
          <w:szCs w:val="21"/>
        </w:rPr>
        <w:t>，</w:t>
      </w:r>
      <w:r>
        <w:rPr>
          <w:szCs w:val="21"/>
        </w:rPr>
        <w:t>检查是否合格。</w:t>
      </w:r>
    </w:p>
    <w:p w14:paraId="042FDEE6">
      <w:pPr>
        <w:pStyle w:val="6"/>
        <w:spacing w:before="156" w:beforeLines="50" w:after="156" w:afterLines="50" w:line="360" w:lineRule="exact"/>
        <w:rPr>
          <w:rFonts w:ascii="黑体" w:hAnsi="黑体" w:eastAsia="黑体"/>
        </w:rPr>
      </w:pPr>
      <w:r>
        <w:rPr>
          <w:rFonts w:ascii="黑体" w:hAnsi="黑体" w:eastAsia="黑体"/>
        </w:rPr>
        <w:t>6.4.2  转向系</w:t>
      </w:r>
    </w:p>
    <w:p w14:paraId="4C2C321D">
      <w:pPr>
        <w:spacing w:line="360" w:lineRule="exact"/>
        <w:rPr>
          <w:szCs w:val="21"/>
        </w:rPr>
      </w:pPr>
      <w:r>
        <w:rPr>
          <w:szCs w:val="21"/>
        </w:rPr>
        <w:t>6.4.2.1  对4.4.2.1、4.4.2.3、4.4.2.6</w:t>
      </w:r>
      <w:r>
        <w:rPr>
          <w:rFonts w:hint="eastAsia" w:ascii="宋体" w:hAnsi="宋体"/>
          <w:szCs w:val="21"/>
        </w:rPr>
        <w:t>～</w:t>
      </w:r>
      <w:r>
        <w:rPr>
          <w:szCs w:val="21"/>
        </w:rPr>
        <w:t>4.4.2.8，用目测检查是否合格。</w:t>
      </w:r>
    </w:p>
    <w:p w14:paraId="03E5121B">
      <w:pPr>
        <w:spacing w:line="360" w:lineRule="exact"/>
        <w:rPr>
          <w:szCs w:val="21"/>
        </w:rPr>
      </w:pPr>
      <w:r>
        <w:rPr>
          <w:szCs w:val="21"/>
        </w:rPr>
        <w:t>6.4.2.2  转向盘的最大自由转动量按GB/T 23931-2021中8.2的规定测量并判定是否合格。</w:t>
      </w:r>
    </w:p>
    <w:p w14:paraId="500EED29">
      <w:pPr>
        <w:spacing w:line="360" w:lineRule="exact"/>
        <w:rPr>
          <w:szCs w:val="21"/>
        </w:rPr>
      </w:pPr>
      <w:r>
        <w:rPr>
          <w:szCs w:val="21"/>
        </w:rPr>
        <w:t>6.4.2.3  目测检查三轮汽车是否装备转向限位装置</w:t>
      </w:r>
      <w:r>
        <w:rPr>
          <w:rFonts w:hint="eastAsia"/>
          <w:szCs w:val="21"/>
        </w:rPr>
        <w:t>，并</w:t>
      </w:r>
      <w:r>
        <w:rPr>
          <w:szCs w:val="21"/>
        </w:rPr>
        <w:t>按GB/T 23931-2021中8.3的规定测量转向轮转角。6.4.2.4</w:t>
      </w:r>
      <w:r>
        <w:rPr>
          <w:rFonts w:hint="eastAsia"/>
          <w:szCs w:val="21"/>
        </w:rPr>
        <w:t xml:space="preserve">  三轮汽车处于驻车状态，并保持纵向中心平面垂直于水平面。将测力装置的旋转轴线与转向轮转轴重合，在限位装置起作用时，对转向轴施加</w:t>
      </w:r>
      <w:r>
        <w:rPr>
          <w:rFonts w:hint="eastAsia"/>
        </w:rPr>
        <w:t xml:space="preserve">200 </w:t>
      </w:r>
      <w:r>
        <w:t>N·m</w:t>
      </w:r>
      <w:r>
        <w:rPr>
          <w:rFonts w:hint="eastAsia"/>
        </w:rPr>
        <w:t>的力矩</w:t>
      </w:r>
      <w:r>
        <w:t>，</w:t>
      </w:r>
      <w:r>
        <w:rPr>
          <w:rFonts w:hint="eastAsia"/>
        </w:rPr>
        <w:t>观察限位装置是否出现</w:t>
      </w:r>
      <w:r>
        <w:t>变形、失效</w:t>
      </w:r>
      <w:r>
        <w:rPr>
          <w:rFonts w:hint="eastAsia"/>
        </w:rPr>
        <w:t>等现象</w:t>
      </w:r>
      <w:r>
        <w:t>。</w:t>
      </w:r>
    </w:p>
    <w:p w14:paraId="6C9221CE">
      <w:pPr>
        <w:spacing w:line="360" w:lineRule="exact"/>
        <w:rPr>
          <w:szCs w:val="21"/>
        </w:rPr>
      </w:pPr>
      <w:r>
        <w:rPr>
          <w:szCs w:val="21"/>
        </w:rPr>
        <w:t>6.4.2.</w:t>
      </w:r>
      <w:r>
        <w:rPr>
          <w:rFonts w:hint="eastAsia"/>
          <w:szCs w:val="21"/>
        </w:rPr>
        <w:t>5</w:t>
      </w:r>
      <w:r>
        <w:rPr>
          <w:szCs w:val="21"/>
        </w:rPr>
        <w:t xml:space="preserve">  施加于转向盘外缘的最大切向力按GB/T 23931-2021中8.4.2的规定测量并判定是否合格。</w:t>
      </w:r>
    </w:p>
    <w:p w14:paraId="401039F7">
      <w:pPr>
        <w:pStyle w:val="6"/>
        <w:spacing w:before="156" w:beforeLines="50" w:after="156" w:afterLines="50" w:line="360" w:lineRule="exact"/>
        <w:rPr>
          <w:rFonts w:ascii="黑体" w:hAnsi="黑体" w:eastAsia="黑体"/>
        </w:rPr>
      </w:pPr>
      <w:r>
        <w:rPr>
          <w:rFonts w:ascii="黑体" w:hAnsi="黑体" w:eastAsia="黑体"/>
        </w:rPr>
        <w:t>6.4.3  制动系</w:t>
      </w:r>
    </w:p>
    <w:p w14:paraId="5A9F29E2">
      <w:pPr>
        <w:spacing w:line="360" w:lineRule="exact"/>
        <w:rPr>
          <w:szCs w:val="21"/>
        </w:rPr>
      </w:pPr>
      <w:r>
        <w:rPr>
          <w:szCs w:val="21"/>
        </w:rPr>
        <w:t>6.4.3.1  对4.4.3.1</w:t>
      </w:r>
      <w:r>
        <w:rPr>
          <w:rFonts w:hint="eastAsia" w:ascii="宋体" w:hAnsi="宋体"/>
          <w:szCs w:val="21"/>
        </w:rPr>
        <w:t>～</w:t>
      </w:r>
      <w:r>
        <w:rPr>
          <w:szCs w:val="21"/>
        </w:rPr>
        <w:t>4.4.3.3，用目测检查或常规测量工具测量是否合格。</w:t>
      </w:r>
    </w:p>
    <w:p w14:paraId="77E31952">
      <w:pPr>
        <w:spacing w:line="360" w:lineRule="exact"/>
        <w:rPr>
          <w:szCs w:val="21"/>
        </w:rPr>
      </w:pPr>
      <w:r>
        <w:rPr>
          <w:szCs w:val="21"/>
        </w:rPr>
        <w:t>6.4.3.2  对</w:t>
      </w:r>
      <w:r>
        <w:rPr>
          <w:rFonts w:hint="eastAsia"/>
          <w:szCs w:val="21"/>
        </w:rPr>
        <w:t>气压制动系统</w:t>
      </w:r>
      <w:r>
        <w:rPr>
          <w:szCs w:val="21"/>
        </w:rPr>
        <w:t>制动气室响应时间按</w:t>
      </w:r>
      <w:r>
        <w:rPr>
          <w:rFonts w:hint="eastAsia"/>
          <w:szCs w:val="21"/>
        </w:rPr>
        <w:t>附录B</w:t>
      </w:r>
      <w:r>
        <w:rPr>
          <w:szCs w:val="21"/>
        </w:rPr>
        <w:t>规定的方法进行测量并判定是否合格。</w:t>
      </w:r>
    </w:p>
    <w:p w14:paraId="1A790543">
      <w:pPr>
        <w:spacing w:line="360" w:lineRule="exact"/>
        <w:rPr>
          <w:szCs w:val="21"/>
        </w:rPr>
      </w:pPr>
      <w:r>
        <w:rPr>
          <w:szCs w:val="21"/>
        </w:rPr>
        <w:t>6.4.3.2  对行车制动性能和驻车制动性能按GB/T 19120的规定进行测量并判定是否合格。</w:t>
      </w:r>
      <w:r>
        <w:rPr>
          <w:rFonts w:hint="eastAsia"/>
          <w:szCs w:val="21"/>
        </w:rPr>
        <w:t>对台架检验制动性能结果有异议的，在空载状态下按路试复检。对空载状态复检结果有异议的，以满载路试复检结果为准。</w:t>
      </w:r>
    </w:p>
    <w:p w14:paraId="6DFD58A6">
      <w:pPr>
        <w:pStyle w:val="6"/>
        <w:spacing w:before="156" w:beforeLines="50" w:after="156" w:afterLines="50" w:line="360" w:lineRule="exact"/>
        <w:rPr>
          <w:rFonts w:ascii="黑体" w:hAnsi="黑体" w:eastAsia="黑体"/>
        </w:rPr>
      </w:pPr>
      <w:r>
        <w:rPr>
          <w:rFonts w:ascii="黑体" w:hAnsi="黑体" w:eastAsia="黑体"/>
        </w:rPr>
        <w:t>6.4.4  行驶系</w:t>
      </w:r>
    </w:p>
    <w:p w14:paraId="7FD1655A">
      <w:pPr>
        <w:spacing w:line="360" w:lineRule="exact"/>
        <w:ind w:firstLine="420" w:firstLineChars="200"/>
        <w:rPr>
          <w:szCs w:val="21"/>
        </w:rPr>
      </w:pPr>
      <w:r>
        <w:rPr>
          <w:szCs w:val="21"/>
        </w:rPr>
        <w:t>目测轮胎规格、花纹、胎面状态是否合格。核定轮胎负荷和轮胎气压是否符合</w:t>
      </w:r>
      <w:r>
        <w:rPr>
          <w:rFonts w:hint="eastAsia"/>
          <w:szCs w:val="21"/>
        </w:rPr>
        <w:t>合格</w:t>
      </w:r>
      <w:r>
        <w:rPr>
          <w:szCs w:val="21"/>
        </w:rPr>
        <w:t xml:space="preserve">。用目测检查轮胎螺母和半轴螺母是否完整齐全并判定是否合格。 </w:t>
      </w:r>
    </w:p>
    <w:p w14:paraId="61D60E88">
      <w:pPr>
        <w:pStyle w:val="6"/>
        <w:spacing w:before="156" w:beforeLines="50" w:after="156" w:afterLines="50" w:line="360" w:lineRule="exact"/>
        <w:rPr>
          <w:rFonts w:ascii="黑体" w:hAnsi="黑体" w:eastAsia="黑体"/>
        </w:rPr>
      </w:pPr>
      <w:r>
        <w:rPr>
          <w:rFonts w:ascii="黑体" w:hAnsi="黑体" w:eastAsia="黑体"/>
        </w:rPr>
        <w:t>6.4.5  传动系</w:t>
      </w:r>
    </w:p>
    <w:p w14:paraId="1D0628FD">
      <w:pPr>
        <w:spacing w:line="360" w:lineRule="exact"/>
        <w:rPr>
          <w:szCs w:val="21"/>
        </w:rPr>
      </w:pPr>
      <w:r>
        <w:rPr>
          <w:szCs w:val="21"/>
        </w:rPr>
        <w:t>6.4.5.1  用目测检查并操纵离合器踏板，确定是否合格。按GB/T 23931-2021中8.4.1的规定方法对离合器接合分离状况和操纵力进行测量并判定是否合格。</w:t>
      </w:r>
    </w:p>
    <w:p w14:paraId="60230359">
      <w:pPr>
        <w:spacing w:line="360" w:lineRule="exact"/>
        <w:rPr>
          <w:szCs w:val="21"/>
        </w:rPr>
      </w:pPr>
      <w:r>
        <w:rPr>
          <w:szCs w:val="21"/>
        </w:rPr>
        <w:t>6.4.5.2  驾驶三轮汽车，依此操作换挡杆至各挡位，至少重复3次，确定换挡操纵机构、传动轴的有效性和稳定性，是否存在异响，并目测检查其它要求是否合格。</w:t>
      </w:r>
    </w:p>
    <w:p w14:paraId="161722B5">
      <w:pPr>
        <w:spacing w:line="360" w:lineRule="exact"/>
        <w:rPr>
          <w:szCs w:val="21"/>
        </w:rPr>
      </w:pPr>
      <w:r>
        <w:rPr>
          <w:szCs w:val="21"/>
        </w:rPr>
        <w:t>6.4.5.3  用目测检查变速器挡位位置的标志是否合格。</w:t>
      </w:r>
    </w:p>
    <w:p w14:paraId="065BBF59">
      <w:pPr>
        <w:spacing w:line="360" w:lineRule="exact"/>
        <w:rPr>
          <w:szCs w:val="21"/>
        </w:rPr>
      </w:pPr>
      <w:r>
        <w:rPr>
          <w:szCs w:val="21"/>
        </w:rPr>
        <w:t>6.4.5.4  限速装置按GB/T 24942的规定进行测量并判定是否合格。</w:t>
      </w:r>
    </w:p>
    <w:p w14:paraId="2FF86B83">
      <w:pPr>
        <w:pStyle w:val="6"/>
        <w:spacing w:before="156" w:beforeLines="50" w:after="156" w:afterLines="50" w:line="360" w:lineRule="exact"/>
        <w:rPr>
          <w:rFonts w:ascii="黑体" w:hAnsi="黑体" w:eastAsia="黑体"/>
        </w:rPr>
      </w:pPr>
      <w:r>
        <w:rPr>
          <w:rFonts w:ascii="黑体" w:hAnsi="黑体" w:eastAsia="黑体"/>
        </w:rPr>
        <w:t>6.4.6  自卸装置</w:t>
      </w:r>
    </w:p>
    <w:p w14:paraId="47D8F65E">
      <w:pPr>
        <w:spacing w:line="360" w:lineRule="exact"/>
        <w:rPr>
          <w:szCs w:val="21"/>
        </w:rPr>
      </w:pPr>
      <w:r>
        <w:rPr>
          <w:szCs w:val="21"/>
        </w:rPr>
        <w:t xml:space="preserve">    用目测检查锁定装置和使用说明书是否合格。</w:t>
      </w:r>
    </w:p>
    <w:p w14:paraId="729CD0E9">
      <w:pPr>
        <w:pStyle w:val="6"/>
        <w:spacing w:before="156" w:beforeLines="50" w:after="156" w:afterLines="50" w:line="360" w:lineRule="exact"/>
        <w:rPr>
          <w:rFonts w:ascii="Times New Roman" w:hAnsi="Times New Roman" w:eastAsia="黑体"/>
        </w:rPr>
      </w:pPr>
      <w:r>
        <w:rPr>
          <w:rFonts w:ascii="黑体" w:hAnsi="黑体" w:eastAsia="黑体"/>
        </w:rPr>
        <w:t>6.5  照明、信号装置和其他电气设备</w:t>
      </w:r>
    </w:p>
    <w:p w14:paraId="1683CDFC">
      <w:pPr>
        <w:spacing w:line="360" w:lineRule="exact"/>
        <w:rPr>
          <w:szCs w:val="21"/>
        </w:rPr>
      </w:pPr>
      <w:r>
        <w:rPr>
          <w:szCs w:val="21"/>
        </w:rPr>
        <w:t xml:space="preserve">6.5.1  </w:t>
      </w:r>
      <w:r>
        <w:t>外部照明和信号装置的数量、位置、光色，</w:t>
      </w:r>
      <w:r>
        <w:rPr>
          <w:szCs w:val="21"/>
        </w:rPr>
        <w:t>用目测和按GB/T 19119的规定检查照明和信号装置是否合格。</w:t>
      </w:r>
    </w:p>
    <w:p w14:paraId="5020E784">
      <w:pPr>
        <w:pStyle w:val="6"/>
        <w:spacing w:line="360" w:lineRule="exact"/>
        <w:rPr>
          <w:rFonts w:ascii="Times New Roman" w:hAnsi="Times New Roman"/>
        </w:rPr>
      </w:pPr>
      <w:r>
        <w:rPr>
          <w:rFonts w:ascii="Times New Roman" w:hAnsi="Times New Roman"/>
        </w:rPr>
        <w:t>6.5.2  前照灯的配光性能按GB/T 19124的规定进行测量</w:t>
      </w:r>
      <w:r>
        <w:rPr>
          <w:rFonts w:ascii="Times New Roman" w:hAnsi="Times New Roman"/>
          <w:szCs w:val="21"/>
        </w:rPr>
        <w:t>并判定是否合格</w:t>
      </w:r>
      <w:r>
        <w:rPr>
          <w:rFonts w:ascii="Times New Roman" w:hAnsi="Times New Roman"/>
        </w:rPr>
        <w:t>。</w:t>
      </w:r>
    </w:p>
    <w:p w14:paraId="680C7307">
      <w:pPr>
        <w:pStyle w:val="6"/>
        <w:spacing w:line="360" w:lineRule="exact"/>
        <w:rPr>
          <w:rFonts w:ascii="Times New Roman" w:hAnsi="Times New Roman"/>
          <w:szCs w:val="21"/>
        </w:rPr>
      </w:pPr>
      <w:r>
        <w:rPr>
          <w:rFonts w:ascii="Times New Roman" w:hAnsi="Times New Roman"/>
        </w:rPr>
        <w:t>6.5.3  利用前照灯检测仪对三轮汽车前照灯的远光光束发光强度和前照灯光束照射位置进行测量。其中二灯制三轮汽车远光光束发光强度可分别测试左右远光灯的发光强度（每次测量时遮挡其中一只前照灯），再计算总的发光强度是否合格。</w:t>
      </w:r>
    </w:p>
    <w:p w14:paraId="2C2DFC49">
      <w:pPr>
        <w:pStyle w:val="6"/>
        <w:spacing w:line="360" w:lineRule="exact"/>
        <w:rPr>
          <w:rFonts w:ascii="Times New Roman" w:hAnsi="Times New Roman"/>
        </w:rPr>
      </w:pPr>
      <w:r>
        <w:rPr>
          <w:rFonts w:ascii="Times New Roman" w:hAnsi="Times New Roman"/>
        </w:rPr>
        <w:t>6.5.</w:t>
      </w:r>
      <w:r>
        <w:rPr>
          <w:rFonts w:hint="eastAsia" w:ascii="Times New Roman" w:hAnsi="Times New Roman"/>
        </w:rPr>
        <w:t>4</w:t>
      </w:r>
      <w:r>
        <w:rPr>
          <w:rFonts w:ascii="Times New Roman" w:hAnsi="Times New Roman"/>
        </w:rPr>
        <w:t xml:space="preserve">  目测检查三轮汽车前照灯的牢固性、发光面是否有遮挡、远近光装置、仪表灯以及前位灯、后位灯、牌照灯、危险警告信号装置、非三角形后回复反射器、各类仪表是否符合4.5.1</w:t>
      </w:r>
      <w:r>
        <w:rPr>
          <w:rFonts w:hint="eastAsia" w:hAnsi="宋体"/>
        </w:rPr>
        <w:t>～</w:t>
      </w:r>
      <w:r>
        <w:rPr>
          <w:rFonts w:ascii="Times New Roman" w:hAnsi="Times New Roman"/>
        </w:rPr>
        <w:t>4.5.5、4.5.8</w:t>
      </w:r>
      <w:r>
        <w:rPr>
          <w:rFonts w:hint="eastAsia" w:hAnsi="宋体"/>
        </w:rPr>
        <w:t>～</w:t>
      </w:r>
      <w:r>
        <w:rPr>
          <w:rFonts w:ascii="Times New Roman" w:hAnsi="Times New Roman"/>
        </w:rPr>
        <w:t>4.5.11的规定。驾驶三轮汽车，测试前、后转向信号灯、危险警告信号及制动灯白天在距其 100 m处是否能观察到其工作状况</w:t>
      </w:r>
      <w:r>
        <w:rPr>
          <w:rFonts w:hint="eastAsia" w:ascii="Times New Roman" w:hAnsi="Times New Roman"/>
        </w:rPr>
        <w:t>；</w:t>
      </w:r>
      <w:r>
        <w:rPr>
          <w:rFonts w:ascii="Times New Roman" w:hAnsi="Times New Roman"/>
        </w:rPr>
        <w:t>前、后位置灯夜间能见度良好时在距其 300 m处是否能观察到其工作状况；后牌照灯夜间能见度良好时在距其 20 m处</w:t>
      </w:r>
      <w:r>
        <w:rPr>
          <w:rFonts w:hint="eastAsia" w:ascii="Times New Roman" w:hAnsi="Times New Roman"/>
        </w:rPr>
        <w:t>是否</w:t>
      </w:r>
      <w:r>
        <w:rPr>
          <w:rFonts w:ascii="Times New Roman" w:hAnsi="Times New Roman"/>
        </w:rPr>
        <w:t>能看清号牌号码</w:t>
      </w:r>
      <w:r>
        <w:rPr>
          <w:rFonts w:hint="eastAsia" w:ascii="Times New Roman" w:hAnsi="Times New Roman"/>
        </w:rPr>
        <w:t>；</w:t>
      </w:r>
      <w:r>
        <w:rPr>
          <w:rFonts w:ascii="Times New Roman" w:hAnsi="Times New Roman"/>
        </w:rPr>
        <w:t>非三角形</w:t>
      </w:r>
      <w:r>
        <w:rPr>
          <w:rFonts w:ascii="Times New Roman" w:hAnsi="Times New Roman"/>
          <w:szCs w:val="21"/>
        </w:rPr>
        <w:t>后回复反射器夜间在其正后方 150 m 处用处用发光强度</w:t>
      </w:r>
      <w:r>
        <w:rPr>
          <w:rFonts w:hint="eastAsia" w:ascii="Times New Roman" w:hAnsi="Times New Roman"/>
          <w:szCs w:val="21"/>
        </w:rPr>
        <w:t>大于18000 cd</w:t>
      </w:r>
      <w:r>
        <w:rPr>
          <w:rFonts w:ascii="Times New Roman" w:hAnsi="Times New Roman"/>
          <w:szCs w:val="21"/>
        </w:rPr>
        <w:t>的前照灯照射，在照射位置确认其</w:t>
      </w:r>
      <w:r>
        <w:rPr>
          <w:rFonts w:hint="eastAsia" w:ascii="Times New Roman" w:hAnsi="Times New Roman"/>
          <w:szCs w:val="21"/>
        </w:rPr>
        <w:t>是否有</w:t>
      </w:r>
      <w:r>
        <w:rPr>
          <w:rFonts w:ascii="Times New Roman" w:hAnsi="Times New Roman"/>
          <w:szCs w:val="21"/>
        </w:rPr>
        <w:t>反射光</w:t>
      </w:r>
      <w:r>
        <w:rPr>
          <w:rFonts w:hint="eastAsia" w:ascii="Times New Roman" w:hAnsi="Times New Roman"/>
          <w:szCs w:val="21"/>
        </w:rPr>
        <w:t>；</w:t>
      </w:r>
      <w:r>
        <w:rPr>
          <w:rFonts w:ascii="Times New Roman" w:hAnsi="Times New Roman"/>
        </w:rPr>
        <w:t>制动灯的发光强度是否明显大于后位灯</w:t>
      </w:r>
      <w:r>
        <w:rPr>
          <w:rFonts w:hint="eastAsia" w:ascii="Times New Roman" w:hAnsi="Times New Roman"/>
        </w:rPr>
        <w:t>。</w:t>
      </w:r>
    </w:p>
    <w:p w14:paraId="5E543B97">
      <w:pPr>
        <w:spacing w:line="360" w:lineRule="exact"/>
        <w:rPr>
          <w:szCs w:val="21"/>
        </w:rPr>
      </w:pPr>
      <w:r>
        <w:rPr>
          <w:szCs w:val="21"/>
        </w:rPr>
        <w:t>6.5.</w:t>
      </w:r>
      <w:r>
        <w:rPr>
          <w:rFonts w:hint="eastAsia"/>
          <w:szCs w:val="21"/>
        </w:rPr>
        <w:t>5</w:t>
      </w:r>
      <w:r>
        <w:rPr>
          <w:szCs w:val="21"/>
        </w:rPr>
        <w:t xml:space="preserve">  </w:t>
      </w:r>
      <w:r>
        <w:rPr>
          <w:rFonts w:hint="eastAsia"/>
          <w:szCs w:val="21"/>
        </w:rPr>
        <w:t>危</w:t>
      </w:r>
      <w:r>
        <w:rPr>
          <w:kern w:val="0"/>
          <w:szCs w:val="21"/>
        </w:rPr>
        <w:t>险警告信号</w:t>
      </w:r>
      <w:r>
        <w:t>和转向信号灯的闪光频率</w:t>
      </w:r>
      <w:r>
        <w:rPr>
          <w:szCs w:val="21"/>
        </w:rPr>
        <w:t>用目测和秒表检查是否合格。</w:t>
      </w:r>
    </w:p>
    <w:p w14:paraId="2B7A277D">
      <w:pPr>
        <w:spacing w:line="360" w:lineRule="exact"/>
        <w:rPr>
          <w:szCs w:val="21"/>
        </w:rPr>
      </w:pPr>
      <w:r>
        <w:rPr>
          <w:szCs w:val="21"/>
        </w:rPr>
        <w:t>6.5.</w:t>
      </w:r>
      <w:r>
        <w:rPr>
          <w:rFonts w:hint="eastAsia"/>
          <w:szCs w:val="21"/>
        </w:rPr>
        <w:t>6</w:t>
      </w:r>
      <w:r>
        <w:rPr>
          <w:szCs w:val="21"/>
        </w:rPr>
        <w:t xml:space="preserve">  目测和常规线性尺寸量具、以及GB 23254的规定测量车身反光标识的类型、粘贴尺寸、面积是否合格。</w:t>
      </w:r>
    </w:p>
    <w:p w14:paraId="2C1258E3">
      <w:pPr>
        <w:pStyle w:val="6"/>
        <w:spacing w:line="360" w:lineRule="exact"/>
        <w:rPr>
          <w:rFonts w:ascii="Times New Roman" w:hAnsi="Times New Roman"/>
          <w:szCs w:val="21"/>
        </w:rPr>
      </w:pPr>
      <w:r>
        <w:rPr>
          <w:rFonts w:ascii="Times New Roman" w:hAnsi="Times New Roman"/>
          <w:szCs w:val="21"/>
        </w:rPr>
        <w:t>6.5.</w:t>
      </w:r>
      <w:r>
        <w:rPr>
          <w:rFonts w:hint="eastAsia" w:ascii="Times New Roman" w:hAnsi="Times New Roman"/>
          <w:szCs w:val="21"/>
        </w:rPr>
        <w:t>7</w:t>
      </w:r>
      <w:r>
        <w:rPr>
          <w:rFonts w:ascii="Times New Roman" w:hAnsi="Times New Roman"/>
          <w:szCs w:val="21"/>
        </w:rPr>
        <w:t xml:space="preserve">  三轮汽车喇叭声级按GB/T 19129的规定进行测量并判定是否合格。</w:t>
      </w:r>
    </w:p>
    <w:p w14:paraId="3A8EAE3D">
      <w:pPr>
        <w:pStyle w:val="6"/>
        <w:spacing w:line="360" w:lineRule="exact"/>
        <w:rPr>
          <w:rFonts w:ascii="Times New Roman" w:hAnsi="Times New Roman"/>
          <w:szCs w:val="21"/>
        </w:rPr>
      </w:pPr>
      <w:r>
        <w:rPr>
          <w:rFonts w:hint="eastAsia" w:ascii="Times New Roman" w:hAnsi="Times New Roman"/>
        </w:rPr>
        <w:t xml:space="preserve">6.5.8  </w:t>
      </w:r>
      <w:r>
        <w:rPr>
          <w:rFonts w:ascii="Times New Roman" w:hAnsi="Times New Roman"/>
          <w:szCs w:val="21"/>
        </w:rPr>
        <w:t>三轮汽车</w:t>
      </w:r>
      <w:r>
        <w:rPr>
          <w:rFonts w:hint="eastAsia" w:ascii="Times New Roman" w:hAnsi="Times New Roman"/>
          <w:szCs w:val="21"/>
        </w:rPr>
        <w:t>安装的</w:t>
      </w:r>
      <w:r>
        <w:rPr>
          <w:rFonts w:ascii="Times New Roman" w:hAnsi="Times New Roman"/>
        </w:rPr>
        <w:t>前位灯、后位灯和制动灯</w:t>
      </w:r>
      <w:r>
        <w:rPr>
          <w:rFonts w:hint="eastAsia" w:ascii="Times New Roman" w:hAnsi="Times New Roman"/>
        </w:rPr>
        <w:t>的</w:t>
      </w:r>
      <w:r>
        <w:rPr>
          <w:rFonts w:ascii="Times New Roman" w:hAnsi="Times New Roman"/>
        </w:rPr>
        <w:t>配光性能</w:t>
      </w:r>
      <w:r>
        <w:rPr>
          <w:rFonts w:hint="eastAsia" w:ascii="Times New Roman" w:hAnsi="Times New Roman"/>
        </w:rPr>
        <w:t>按</w:t>
      </w:r>
      <w:r>
        <w:rPr>
          <w:rFonts w:ascii="Times New Roman" w:hAnsi="Times New Roman"/>
        </w:rPr>
        <w:t>GB/T 191</w:t>
      </w:r>
      <w:r>
        <w:rPr>
          <w:rFonts w:hint="eastAsia" w:ascii="Times New Roman" w:hAnsi="Times New Roman"/>
        </w:rPr>
        <w:t>25的规定进行测量</w:t>
      </w:r>
      <w:r>
        <w:rPr>
          <w:rFonts w:ascii="Times New Roman" w:hAnsi="Times New Roman"/>
          <w:szCs w:val="21"/>
        </w:rPr>
        <w:t>并判定是否合格</w:t>
      </w:r>
      <w:r>
        <w:rPr>
          <w:rFonts w:hint="eastAsia" w:ascii="Times New Roman" w:hAnsi="Times New Roman"/>
        </w:rPr>
        <w:t>。</w:t>
      </w:r>
      <w:r>
        <w:rPr>
          <w:rFonts w:ascii="Times New Roman" w:hAnsi="Times New Roman"/>
        </w:rPr>
        <w:t>转向信号灯</w:t>
      </w:r>
      <w:r>
        <w:rPr>
          <w:rFonts w:hint="eastAsia" w:ascii="Times New Roman" w:hAnsi="Times New Roman"/>
        </w:rPr>
        <w:t>、倒车灯、</w:t>
      </w:r>
      <w:r>
        <w:rPr>
          <w:rFonts w:ascii="Times New Roman" w:hAnsi="Times New Roman"/>
          <w:szCs w:val="21"/>
        </w:rPr>
        <w:t>回复反射器</w:t>
      </w:r>
      <w:r>
        <w:rPr>
          <w:rFonts w:hint="eastAsia" w:ascii="Times New Roman" w:hAnsi="Times New Roman"/>
        </w:rPr>
        <w:t>的配光性能分别按</w:t>
      </w:r>
      <w:r>
        <w:rPr>
          <w:rFonts w:ascii="Times New Roman" w:hAnsi="Times New Roman"/>
        </w:rPr>
        <w:t>GB/T 191</w:t>
      </w:r>
      <w:r>
        <w:rPr>
          <w:rFonts w:hint="eastAsia" w:ascii="Times New Roman" w:hAnsi="Times New Roman"/>
        </w:rPr>
        <w:t>23、</w:t>
      </w:r>
      <w:r>
        <w:rPr>
          <w:rFonts w:ascii="Times New Roman" w:hAnsi="Times New Roman"/>
        </w:rPr>
        <w:t>GB/T 191</w:t>
      </w:r>
      <w:r>
        <w:rPr>
          <w:rFonts w:hint="eastAsia" w:ascii="Times New Roman" w:hAnsi="Times New Roman"/>
        </w:rPr>
        <w:t>35、</w:t>
      </w:r>
      <w:r>
        <w:rPr>
          <w:rFonts w:ascii="Times New Roman" w:hAnsi="Times New Roman"/>
          <w:szCs w:val="21"/>
        </w:rPr>
        <w:t>GB</w:t>
      </w:r>
      <w:r>
        <w:rPr>
          <w:rFonts w:hint="eastAsia" w:ascii="Times New Roman" w:hAnsi="Times New Roman"/>
          <w:szCs w:val="21"/>
        </w:rPr>
        <w:t>/</w:t>
      </w:r>
      <w:r>
        <w:rPr>
          <w:rFonts w:ascii="Times New Roman" w:hAnsi="Times New Roman"/>
          <w:szCs w:val="21"/>
        </w:rPr>
        <w:t>T 19128</w:t>
      </w:r>
      <w:r>
        <w:rPr>
          <w:rFonts w:hint="eastAsia" w:ascii="Times New Roman" w:hAnsi="Times New Roman"/>
        </w:rPr>
        <w:t>规定进行测量</w:t>
      </w:r>
      <w:r>
        <w:rPr>
          <w:rFonts w:ascii="Times New Roman" w:hAnsi="Times New Roman"/>
          <w:szCs w:val="21"/>
        </w:rPr>
        <w:t>并判定是否合格</w:t>
      </w:r>
      <w:r>
        <w:rPr>
          <w:rFonts w:hint="eastAsia" w:ascii="Times New Roman" w:hAnsi="Times New Roman"/>
          <w:szCs w:val="21"/>
        </w:rPr>
        <w:t>。</w:t>
      </w:r>
    </w:p>
    <w:p w14:paraId="50A749DB">
      <w:pPr>
        <w:pStyle w:val="6"/>
        <w:spacing w:before="156" w:beforeLines="50" w:after="156" w:afterLines="50" w:line="360" w:lineRule="exact"/>
        <w:rPr>
          <w:rFonts w:ascii="黑体" w:hAnsi="黑体" w:eastAsia="黑体"/>
        </w:rPr>
      </w:pPr>
      <w:r>
        <w:rPr>
          <w:rFonts w:hint="eastAsia" w:ascii="黑体" w:hAnsi="黑体" w:eastAsia="黑体"/>
        </w:rPr>
        <w:t>6</w:t>
      </w:r>
      <w:r>
        <w:rPr>
          <w:rFonts w:ascii="黑体" w:hAnsi="黑体" w:eastAsia="黑体"/>
        </w:rPr>
        <w:t>.6  安全防护装置</w:t>
      </w:r>
    </w:p>
    <w:p w14:paraId="0D85BC8B">
      <w:pPr>
        <w:pStyle w:val="6"/>
        <w:spacing w:line="360" w:lineRule="exact"/>
        <w:rPr>
          <w:rFonts w:ascii="Times New Roman" w:hAnsi="Times New Roman"/>
          <w:szCs w:val="21"/>
        </w:rPr>
      </w:pPr>
      <w:r>
        <w:rPr>
          <w:rFonts w:hint="eastAsia" w:ascii="Times New Roman" w:hAnsi="Times New Roman"/>
          <w:szCs w:val="21"/>
        </w:rPr>
        <w:t>6</w:t>
      </w:r>
      <w:r>
        <w:rPr>
          <w:rFonts w:ascii="Times New Roman" w:hAnsi="Times New Roman"/>
          <w:szCs w:val="21"/>
        </w:rPr>
        <w:t>.6.1  三轮汽车后视镜的性能和安装要求，按GB/T 19134的规定进行测量并判定是否合格。</w:t>
      </w:r>
    </w:p>
    <w:p w14:paraId="3E7DA92A">
      <w:pPr>
        <w:pStyle w:val="6"/>
        <w:spacing w:line="360" w:lineRule="exact"/>
        <w:rPr>
          <w:rFonts w:ascii="Times New Roman" w:hAnsi="Times New Roman"/>
          <w:szCs w:val="21"/>
        </w:rPr>
      </w:pPr>
      <w:r>
        <w:rPr>
          <w:rFonts w:hint="eastAsia" w:ascii="Times New Roman" w:hAnsi="Times New Roman"/>
          <w:szCs w:val="21"/>
        </w:rPr>
        <w:t>6</w:t>
      </w:r>
      <w:r>
        <w:rPr>
          <w:rFonts w:ascii="Times New Roman" w:hAnsi="Times New Roman"/>
          <w:szCs w:val="21"/>
        </w:rPr>
        <w:t>.6.2  启动刮水器，用目测检查是否合格。</w:t>
      </w:r>
    </w:p>
    <w:p w14:paraId="66AFCD35">
      <w:pPr>
        <w:pStyle w:val="6"/>
        <w:spacing w:line="360" w:lineRule="exact"/>
        <w:rPr>
          <w:rFonts w:ascii="Times New Roman" w:hAnsi="Times New Roman"/>
          <w:szCs w:val="21"/>
        </w:rPr>
      </w:pPr>
      <w:r>
        <w:rPr>
          <w:rFonts w:hint="eastAsia" w:ascii="Times New Roman" w:hAnsi="Times New Roman"/>
          <w:szCs w:val="21"/>
        </w:rPr>
        <w:t>6</w:t>
      </w:r>
      <w:r>
        <w:rPr>
          <w:rFonts w:ascii="Times New Roman" w:hAnsi="Times New Roman"/>
          <w:szCs w:val="21"/>
        </w:rPr>
        <w:t>.6.3  用目测检查4.6.3、4.6.5的规定是否合格</w:t>
      </w:r>
      <w:r>
        <w:rPr>
          <w:rFonts w:ascii="Times New Roman" w:hAnsi="Times New Roman"/>
        </w:rPr>
        <w:t>。</w:t>
      </w:r>
    </w:p>
    <w:p w14:paraId="5416A7AE">
      <w:pPr>
        <w:pStyle w:val="6"/>
        <w:spacing w:line="360" w:lineRule="exact"/>
        <w:rPr>
          <w:rFonts w:ascii="Times New Roman" w:hAnsi="Times New Roman"/>
          <w:szCs w:val="21"/>
        </w:rPr>
      </w:pPr>
      <w:r>
        <w:rPr>
          <w:rFonts w:hint="eastAsia" w:ascii="Times New Roman" w:hAnsi="Times New Roman"/>
          <w:szCs w:val="21"/>
        </w:rPr>
        <w:t>6</w:t>
      </w:r>
      <w:r>
        <w:rPr>
          <w:rFonts w:ascii="Times New Roman" w:hAnsi="Times New Roman"/>
          <w:szCs w:val="21"/>
        </w:rPr>
        <w:t>.6.4  用目测和常规线性尺寸测量检查安全架是否合格。</w:t>
      </w:r>
    </w:p>
    <w:p w14:paraId="0BF64E98">
      <w:pPr>
        <w:pStyle w:val="6"/>
        <w:spacing w:line="360" w:lineRule="exact"/>
        <w:rPr>
          <w:rFonts w:ascii="Times New Roman" w:hAnsi="Times New Roman"/>
          <w:szCs w:val="21"/>
        </w:rPr>
      </w:pPr>
      <w:r>
        <w:rPr>
          <w:rFonts w:hint="eastAsia" w:ascii="Times New Roman" w:hAnsi="Times New Roman"/>
          <w:szCs w:val="21"/>
        </w:rPr>
        <w:t>6</w:t>
      </w:r>
      <w:r>
        <w:rPr>
          <w:rFonts w:ascii="Times New Roman" w:hAnsi="Times New Roman"/>
          <w:szCs w:val="21"/>
        </w:rPr>
        <w:t>.6.5  用目测和常规线性尺寸测量检查防护罩和安全距离是合格。</w:t>
      </w:r>
    </w:p>
    <w:p w14:paraId="70FD5FF0">
      <w:pPr>
        <w:pStyle w:val="6"/>
        <w:spacing w:before="156" w:beforeLines="50" w:after="156" w:afterLines="50" w:line="360" w:lineRule="exact"/>
        <w:rPr>
          <w:rFonts w:ascii="黑体" w:hAnsi="黑体" w:eastAsia="黑体"/>
        </w:rPr>
      </w:pPr>
      <w:r>
        <w:rPr>
          <w:rFonts w:hint="eastAsia" w:ascii="黑体" w:hAnsi="黑体" w:eastAsia="黑体"/>
        </w:rPr>
        <w:t>6</w:t>
      </w:r>
      <w:r>
        <w:rPr>
          <w:rFonts w:ascii="黑体" w:hAnsi="黑体" w:eastAsia="黑体"/>
        </w:rPr>
        <w:t>.7  管路、燃油和润滑系统</w:t>
      </w:r>
    </w:p>
    <w:p w14:paraId="40CBDF78">
      <w:pPr>
        <w:pStyle w:val="6"/>
        <w:spacing w:before="156" w:beforeLines="50" w:after="156" w:afterLines="50" w:line="360" w:lineRule="exact"/>
        <w:rPr>
          <w:rFonts w:ascii="黑体" w:hAnsi="黑体" w:eastAsia="黑体"/>
        </w:rPr>
      </w:pPr>
      <w:r>
        <w:rPr>
          <w:rFonts w:hint="eastAsia" w:ascii="黑体" w:hAnsi="黑体" w:eastAsia="黑体"/>
        </w:rPr>
        <w:t>6</w:t>
      </w:r>
      <w:r>
        <w:rPr>
          <w:rFonts w:ascii="黑体" w:hAnsi="黑体" w:eastAsia="黑体"/>
        </w:rPr>
        <w:t>.7.1  管路</w:t>
      </w:r>
    </w:p>
    <w:p w14:paraId="1C2EA91B">
      <w:pPr>
        <w:pStyle w:val="6"/>
        <w:spacing w:line="360" w:lineRule="exact"/>
        <w:ind w:firstLine="420"/>
        <w:rPr>
          <w:rFonts w:ascii="Times New Roman" w:hAnsi="Times New Roman"/>
          <w:szCs w:val="21"/>
        </w:rPr>
      </w:pPr>
      <w:r>
        <w:rPr>
          <w:rFonts w:ascii="Times New Roman" w:hAnsi="Times New Roman"/>
          <w:szCs w:val="21"/>
        </w:rPr>
        <w:t>用目测检查是否合格。</w:t>
      </w:r>
    </w:p>
    <w:p w14:paraId="1947DA44">
      <w:pPr>
        <w:pStyle w:val="6"/>
        <w:spacing w:before="156" w:beforeLines="50" w:after="156" w:afterLines="50" w:line="360" w:lineRule="exact"/>
        <w:rPr>
          <w:rFonts w:ascii="黑体" w:hAnsi="黑体" w:eastAsia="黑体"/>
        </w:rPr>
      </w:pPr>
      <w:r>
        <w:rPr>
          <w:rFonts w:hint="eastAsia" w:ascii="黑体" w:hAnsi="黑体" w:eastAsia="黑体"/>
        </w:rPr>
        <w:t>6</w:t>
      </w:r>
      <w:r>
        <w:rPr>
          <w:rFonts w:ascii="黑体" w:hAnsi="黑体" w:eastAsia="黑体"/>
        </w:rPr>
        <w:t>.7.2  油箱</w:t>
      </w:r>
    </w:p>
    <w:p w14:paraId="4F9E8864">
      <w:pPr>
        <w:pStyle w:val="6"/>
        <w:spacing w:line="360" w:lineRule="exact"/>
        <w:ind w:firstLine="420"/>
        <w:rPr>
          <w:rFonts w:ascii="Times New Roman" w:hAnsi="Times New Roman"/>
          <w:szCs w:val="21"/>
        </w:rPr>
      </w:pPr>
      <w:r>
        <w:rPr>
          <w:rFonts w:ascii="Times New Roman" w:hAnsi="Times New Roman"/>
          <w:szCs w:val="21"/>
        </w:rPr>
        <w:t>用目测和常规线性尺寸量具检查是否合格。</w:t>
      </w:r>
    </w:p>
    <w:p w14:paraId="48872B51">
      <w:pPr>
        <w:pStyle w:val="6"/>
        <w:spacing w:before="156" w:beforeLines="50" w:after="156" w:afterLines="50" w:line="360" w:lineRule="exact"/>
        <w:rPr>
          <w:rFonts w:ascii="黑体" w:hAnsi="黑体" w:eastAsia="黑体"/>
        </w:rPr>
      </w:pPr>
      <w:r>
        <w:rPr>
          <w:rFonts w:hint="eastAsia" w:ascii="黑体" w:hAnsi="黑体" w:eastAsia="黑体"/>
        </w:rPr>
        <w:t>6</w:t>
      </w:r>
      <w:r>
        <w:rPr>
          <w:rFonts w:ascii="黑体" w:hAnsi="黑体" w:eastAsia="黑体"/>
        </w:rPr>
        <w:t>.8  热防护</w:t>
      </w:r>
    </w:p>
    <w:p w14:paraId="70067C59">
      <w:pPr>
        <w:pStyle w:val="6"/>
        <w:spacing w:line="360" w:lineRule="exact"/>
        <w:ind w:firstLine="420"/>
        <w:rPr>
          <w:rFonts w:ascii="Times New Roman" w:hAnsi="Times New Roman"/>
          <w:szCs w:val="21"/>
        </w:rPr>
      </w:pPr>
      <w:r>
        <w:rPr>
          <w:rFonts w:ascii="Times New Roman" w:hAnsi="Times New Roman"/>
          <w:szCs w:val="21"/>
        </w:rPr>
        <w:t>三轮汽车发动机以最高无负荷速度运行，直至温度稳定。用锥体触及排气和冷却系统中裸露热表面，锥体锥尖或锥面不应接触到温度大于80℃</w:t>
      </w:r>
      <w:r>
        <w:rPr>
          <w:rFonts w:hint="eastAsia" w:ascii="Times New Roman" w:hAnsi="Times New Roman"/>
          <w:szCs w:val="21"/>
        </w:rPr>
        <w:t xml:space="preserve"> </w:t>
      </w:r>
      <w:r>
        <w:rPr>
          <w:rFonts w:ascii="Times New Roman" w:hAnsi="Times New Roman"/>
          <w:szCs w:val="21"/>
        </w:rPr>
        <w:t>的热表面。试验用锥体见图</w:t>
      </w:r>
      <w:r>
        <w:rPr>
          <w:rFonts w:hint="eastAsia" w:ascii="Times New Roman" w:hAnsi="Times New Roman"/>
          <w:szCs w:val="21"/>
        </w:rPr>
        <w:t>5。</w:t>
      </w:r>
    </w:p>
    <w:p w14:paraId="7A257B68">
      <w:pPr>
        <w:pStyle w:val="6"/>
        <w:spacing w:line="400" w:lineRule="exact"/>
        <w:ind w:firstLine="420"/>
        <w:rPr>
          <w:rFonts w:ascii="Times New Roman" w:hAnsi="Times New Roman"/>
          <w:szCs w:val="21"/>
        </w:rPr>
      </w:pPr>
      <w:r>
        <w:rPr>
          <w:rFonts w:ascii="Times New Roman" w:hAnsi="Times New Roman"/>
          <w:szCs w:val="21"/>
        </w:rPr>
        <w:t xml:space="preserve">                                                                     </w:t>
      </w:r>
    </w:p>
    <w:p w14:paraId="612669A4">
      <w:pPr>
        <w:pStyle w:val="6"/>
        <w:spacing w:line="400" w:lineRule="exact"/>
        <w:ind w:right="180" w:firstLine="420"/>
        <w:jc w:val="right"/>
        <w:rPr>
          <w:rFonts w:ascii="Times New Roman" w:hAnsi="Times New Roman"/>
          <w:szCs w:val="21"/>
        </w:rPr>
      </w:pPr>
      <w:r>
        <w:rPr>
          <w:rFonts w:ascii="Times New Roman" w:hAnsi="Times New Roman"/>
          <w:sz w:val="18"/>
          <w:szCs w:val="18"/>
        </w:rPr>
        <w:t>单位为毫米</w:t>
      </w:r>
    </w:p>
    <w:p w14:paraId="1B67507F">
      <w:pPr>
        <w:pStyle w:val="6"/>
        <w:jc w:val="center"/>
        <w:rPr>
          <w:rFonts w:ascii="Times New Roman" w:hAnsi="Times New Roman"/>
          <w:szCs w:val="21"/>
        </w:rPr>
      </w:pPr>
      <w:r>
        <w:rPr>
          <w:rFonts w:ascii="Times New Roman" w:hAnsi="Times New Roman"/>
        </w:rPr>
        <w:drawing>
          <wp:inline distT="0" distB="0" distL="0" distR="0">
            <wp:extent cx="1604010" cy="1873885"/>
            <wp:effectExtent l="0" t="0" r="0" b="0"/>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610025" cy="1880881"/>
                    </a:xfrm>
                    <a:prstGeom prst="rect">
                      <a:avLst/>
                    </a:prstGeom>
                    <a:noFill/>
                    <a:ln>
                      <a:noFill/>
                    </a:ln>
                  </pic:spPr>
                </pic:pic>
              </a:graphicData>
            </a:graphic>
          </wp:inline>
        </w:drawing>
      </w:r>
    </w:p>
    <w:p w14:paraId="142A4A67">
      <w:pPr>
        <w:pStyle w:val="6"/>
        <w:spacing w:line="400" w:lineRule="exact"/>
        <w:ind w:firstLine="420"/>
        <w:jc w:val="center"/>
        <w:rPr>
          <w:rFonts w:ascii="Times New Roman" w:hAnsi="Times New Roman" w:eastAsia="黑体"/>
          <w:szCs w:val="21"/>
        </w:rPr>
      </w:pPr>
      <w:r>
        <w:rPr>
          <w:rFonts w:ascii="Times New Roman" w:hAnsi="Times New Roman" w:eastAsia="黑体"/>
          <w:szCs w:val="21"/>
        </w:rPr>
        <w:t>图</w:t>
      </w:r>
      <w:r>
        <w:rPr>
          <w:rFonts w:hint="eastAsia" w:ascii="Times New Roman" w:hAnsi="Times New Roman" w:eastAsia="黑体"/>
          <w:szCs w:val="21"/>
        </w:rPr>
        <w:t>5</w:t>
      </w:r>
      <w:r>
        <w:rPr>
          <w:rFonts w:ascii="Times New Roman" w:hAnsi="Times New Roman" w:eastAsia="黑体"/>
          <w:szCs w:val="21"/>
        </w:rPr>
        <w:t xml:space="preserve"> 试验用锥体</w:t>
      </w:r>
    </w:p>
    <w:p w14:paraId="34716C9E">
      <w:pPr>
        <w:pStyle w:val="6"/>
        <w:spacing w:line="360" w:lineRule="exact"/>
        <w:ind w:firstLine="420"/>
        <w:rPr>
          <w:rFonts w:ascii="Times New Roman" w:hAnsi="Times New Roman"/>
          <w:szCs w:val="21"/>
        </w:rPr>
      </w:pPr>
      <w:r>
        <w:rPr>
          <w:rFonts w:hint="eastAsia" w:ascii="Times New Roman" w:hAnsi="Times New Roman"/>
          <w:szCs w:val="21"/>
        </w:rPr>
        <w:t xml:space="preserve"> 测量的基准环境温度为23 ℃±5 ℃，在确定温度时，应根据基准温度和试验环境温度（最低不小于15 ℃，最高不大于30 ℃）的差值对测量的温度进行校正。</w:t>
      </w:r>
    </w:p>
    <w:p w14:paraId="0FE1E0E1">
      <w:pPr>
        <w:pStyle w:val="6"/>
        <w:spacing w:line="360" w:lineRule="exact"/>
        <w:ind w:firstLine="420"/>
        <w:rPr>
          <w:rFonts w:ascii="Times New Roman" w:hAnsi="Times New Roman"/>
          <w:szCs w:val="21"/>
        </w:rPr>
      </w:pPr>
      <w:r>
        <w:rPr>
          <w:rFonts w:hint="eastAsia" w:ascii="Times New Roman" w:hAnsi="Times New Roman"/>
          <w:szCs w:val="21"/>
        </w:rPr>
        <w:t>散热器水盖若为防脱自锁型，则判定为合格；其余目测检查。</w:t>
      </w:r>
    </w:p>
    <w:p w14:paraId="18C8BB20">
      <w:pPr>
        <w:pStyle w:val="6"/>
        <w:spacing w:before="156" w:beforeLines="50" w:after="156" w:afterLines="50" w:line="360" w:lineRule="exact"/>
        <w:rPr>
          <w:rFonts w:ascii="黑体" w:hAnsi="黑体" w:eastAsia="黑体"/>
        </w:rPr>
      </w:pPr>
      <w:r>
        <w:rPr>
          <w:rFonts w:hint="eastAsia" w:ascii="黑体" w:hAnsi="黑体" w:eastAsia="黑体"/>
        </w:rPr>
        <w:t>6</w:t>
      </w:r>
      <w:r>
        <w:rPr>
          <w:rFonts w:ascii="黑体" w:hAnsi="黑体" w:eastAsia="黑体"/>
        </w:rPr>
        <w:t>.9  电气要求</w:t>
      </w:r>
    </w:p>
    <w:p w14:paraId="65911CDF">
      <w:pPr>
        <w:pStyle w:val="6"/>
        <w:spacing w:line="360" w:lineRule="exact"/>
        <w:ind w:firstLine="420"/>
        <w:rPr>
          <w:rFonts w:ascii="Times New Roman" w:hAnsi="Times New Roman"/>
          <w:szCs w:val="21"/>
        </w:rPr>
      </w:pPr>
      <w:r>
        <w:rPr>
          <w:rFonts w:ascii="Times New Roman" w:hAnsi="Times New Roman"/>
          <w:szCs w:val="21"/>
        </w:rPr>
        <w:t xml:space="preserve"> 用目测检查是否合格。</w:t>
      </w:r>
    </w:p>
    <w:p w14:paraId="2E4858F1">
      <w:pPr>
        <w:pStyle w:val="6"/>
        <w:spacing w:before="156" w:beforeLines="50" w:after="156" w:afterLines="50" w:line="360" w:lineRule="exact"/>
        <w:rPr>
          <w:rFonts w:ascii="黑体" w:hAnsi="黑体" w:eastAsia="黑体"/>
        </w:rPr>
      </w:pPr>
      <w:r>
        <w:rPr>
          <w:rFonts w:hint="eastAsia" w:ascii="黑体" w:hAnsi="黑体" w:eastAsia="黑体"/>
        </w:rPr>
        <w:t>6</w:t>
      </w:r>
      <w:r>
        <w:rPr>
          <w:rFonts w:ascii="黑体" w:hAnsi="黑体" w:eastAsia="黑体"/>
        </w:rPr>
        <w:t>.1</w:t>
      </w:r>
      <w:r>
        <w:rPr>
          <w:rFonts w:hint="eastAsia" w:ascii="黑体" w:hAnsi="黑体" w:eastAsia="黑体"/>
          <w:lang w:val="en-US" w:eastAsia="zh-CN"/>
        </w:rPr>
        <w:t>0</w:t>
      </w:r>
      <w:r>
        <w:rPr>
          <w:rFonts w:ascii="黑体" w:hAnsi="黑体" w:eastAsia="黑体"/>
        </w:rPr>
        <w:t xml:space="preserve">  车速要求</w:t>
      </w:r>
    </w:p>
    <w:p w14:paraId="48B820BC">
      <w:pPr>
        <w:pStyle w:val="6"/>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按GB/T 23920的规定测量三轮汽车的实际最大行驶速度。测量实际最大行驶速度时，应将三轮汽车发动机的转速调整到可以达到的最高转速，并装备</w:t>
      </w:r>
      <w:r>
        <w:rPr>
          <w:rFonts w:hint="eastAsia" w:asciiTheme="minorEastAsia" w:hAnsiTheme="minorEastAsia" w:eastAsiaTheme="minorEastAsia"/>
          <w:szCs w:val="21"/>
        </w:rPr>
        <w:t>制造厂</w:t>
      </w:r>
      <w:r>
        <w:rPr>
          <w:rFonts w:asciiTheme="minorEastAsia" w:hAnsiTheme="minorEastAsia" w:eastAsiaTheme="minorEastAsia"/>
          <w:szCs w:val="21"/>
        </w:rPr>
        <w:t>允许安装且能获得最大行驶速度的轮胎。试验过程中应挂最高车速挡。</w:t>
      </w:r>
    </w:p>
    <w:p w14:paraId="5F5DDDFE">
      <w:pPr>
        <w:pStyle w:val="6"/>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路试检测车速表误差。测量三轮汽车车速表的指示值V</w:t>
      </w:r>
      <w:r>
        <w:rPr>
          <w:rFonts w:asciiTheme="minorEastAsia" w:hAnsiTheme="minorEastAsia" w:eastAsiaTheme="minorEastAsia"/>
          <w:szCs w:val="21"/>
          <w:vertAlign w:val="subscript"/>
        </w:rPr>
        <w:t>1</w:t>
      </w:r>
      <w:r>
        <w:rPr>
          <w:rFonts w:asciiTheme="minorEastAsia" w:hAnsiTheme="minorEastAsia" w:eastAsiaTheme="minorEastAsia"/>
          <w:szCs w:val="21"/>
        </w:rPr>
        <w:t>为40 km/h时的实际行驶速度，若实际车速V</w:t>
      </w:r>
      <w:r>
        <w:rPr>
          <w:rFonts w:asciiTheme="minorEastAsia" w:hAnsiTheme="minorEastAsia" w:eastAsiaTheme="minorEastAsia"/>
          <w:szCs w:val="21"/>
          <w:vertAlign w:val="subscript"/>
        </w:rPr>
        <w:t>2</w:t>
      </w:r>
      <w:r>
        <w:rPr>
          <w:rFonts w:asciiTheme="minorEastAsia" w:hAnsiTheme="minorEastAsia" w:eastAsiaTheme="minorEastAsia"/>
          <w:szCs w:val="21"/>
        </w:rPr>
        <w:t>在32.8 km/h</w:t>
      </w:r>
      <w:r>
        <w:rPr>
          <w:rFonts w:hint="eastAsia" w:asciiTheme="minorEastAsia" w:hAnsiTheme="minorEastAsia" w:eastAsiaTheme="minorEastAsia"/>
          <w:szCs w:val="21"/>
        </w:rPr>
        <w:t>～</w:t>
      </w:r>
      <w:r>
        <w:rPr>
          <w:rFonts w:asciiTheme="minorEastAsia" w:hAnsiTheme="minorEastAsia" w:eastAsiaTheme="minorEastAsia"/>
          <w:szCs w:val="21"/>
        </w:rPr>
        <w:t>40 km/h范围内则为合格。</w:t>
      </w:r>
    </w:p>
    <w:p w14:paraId="0C5A41A8">
      <w:pPr>
        <w:pStyle w:val="6"/>
        <w:spacing w:before="156" w:beforeLines="50" w:after="156" w:afterLines="50" w:line="360" w:lineRule="exact"/>
        <w:rPr>
          <w:rFonts w:ascii="黑体" w:hAnsi="黑体" w:eastAsia="黑体"/>
        </w:rPr>
      </w:pPr>
      <w:r>
        <w:rPr>
          <w:rFonts w:hint="eastAsia" w:ascii="黑体" w:hAnsi="黑体" w:eastAsia="黑体"/>
        </w:rPr>
        <w:t>6</w:t>
      </w:r>
      <w:r>
        <w:rPr>
          <w:rFonts w:ascii="黑体" w:hAnsi="黑体" w:eastAsia="黑体"/>
        </w:rPr>
        <w:t>.1</w:t>
      </w:r>
      <w:r>
        <w:rPr>
          <w:rFonts w:hint="eastAsia" w:ascii="黑体" w:hAnsi="黑体" w:eastAsia="黑体"/>
          <w:lang w:val="en-US" w:eastAsia="zh-CN"/>
        </w:rPr>
        <w:t>1</w:t>
      </w:r>
      <w:r>
        <w:rPr>
          <w:rFonts w:ascii="黑体" w:hAnsi="黑体" w:eastAsia="黑体"/>
        </w:rPr>
        <w:t xml:space="preserve">  最大允许总质量和外廓尺寸</w:t>
      </w:r>
    </w:p>
    <w:p w14:paraId="13E982CD">
      <w:pPr>
        <w:pStyle w:val="6"/>
        <w:spacing w:line="360" w:lineRule="exact"/>
        <w:ind w:firstLine="420"/>
        <w:rPr>
          <w:rFonts w:asciiTheme="minorEastAsia" w:hAnsiTheme="minorEastAsia" w:eastAsiaTheme="minorEastAsia"/>
          <w:szCs w:val="21"/>
        </w:rPr>
      </w:pPr>
      <w:r>
        <w:rPr>
          <w:rFonts w:asciiTheme="minorEastAsia" w:hAnsiTheme="minorEastAsia" w:eastAsiaTheme="minorEastAsia"/>
          <w:szCs w:val="21"/>
        </w:rPr>
        <w:t xml:space="preserve">三轮汽车的最大允许总质量和外廓尺寸按GB </w:t>
      </w:r>
      <w:r>
        <w:rPr>
          <w:rFonts w:hint="eastAsia" w:asciiTheme="minorEastAsia" w:hAnsiTheme="minorEastAsia" w:eastAsiaTheme="minorEastAsia"/>
          <w:szCs w:val="21"/>
        </w:rPr>
        <w:t>1589</w:t>
      </w:r>
      <w:r>
        <w:rPr>
          <w:rFonts w:asciiTheme="minorEastAsia" w:hAnsiTheme="minorEastAsia" w:eastAsiaTheme="minorEastAsia"/>
          <w:szCs w:val="21"/>
        </w:rPr>
        <w:t>的规定进行测量，并判断最大</w:t>
      </w:r>
      <w:r>
        <w:rPr>
          <w:rFonts w:hint="eastAsia" w:asciiTheme="minorEastAsia" w:hAnsiTheme="minorEastAsia" w:eastAsiaTheme="minorEastAsia"/>
          <w:szCs w:val="21"/>
        </w:rPr>
        <w:t>设计</w:t>
      </w:r>
      <w:r>
        <w:rPr>
          <w:rFonts w:asciiTheme="minorEastAsia" w:hAnsiTheme="minorEastAsia" w:eastAsiaTheme="minorEastAsia"/>
          <w:szCs w:val="21"/>
        </w:rPr>
        <w:t>总质量和外廓尺寸实测值是否在偏差范围内。</w:t>
      </w:r>
    </w:p>
    <w:p w14:paraId="4BB8836A">
      <w:pPr>
        <w:pStyle w:val="6"/>
        <w:spacing w:before="156" w:beforeLines="50" w:after="156" w:afterLines="50" w:line="360" w:lineRule="exact"/>
        <w:rPr>
          <w:rFonts w:ascii="黑体" w:hAnsi="黑体" w:eastAsia="黑体"/>
        </w:rPr>
      </w:pPr>
      <w:r>
        <w:rPr>
          <w:rFonts w:hint="eastAsia" w:ascii="黑体" w:hAnsi="黑体" w:eastAsia="黑体"/>
        </w:rPr>
        <w:t>6</w:t>
      </w:r>
      <w:r>
        <w:rPr>
          <w:rFonts w:ascii="黑体" w:hAnsi="黑体" w:eastAsia="黑体"/>
        </w:rPr>
        <w:t>.1</w:t>
      </w:r>
      <w:r>
        <w:rPr>
          <w:rFonts w:hint="eastAsia" w:ascii="黑体" w:hAnsi="黑体" w:eastAsia="黑体"/>
          <w:lang w:val="en-US" w:eastAsia="zh-CN"/>
        </w:rPr>
        <w:t>2</w:t>
      </w:r>
      <w:r>
        <w:rPr>
          <w:rFonts w:ascii="黑体" w:hAnsi="黑体" w:eastAsia="黑体"/>
        </w:rPr>
        <w:t xml:space="preserve">  噪声</w:t>
      </w:r>
    </w:p>
    <w:p w14:paraId="01A44B07">
      <w:pPr>
        <w:pStyle w:val="6"/>
        <w:spacing w:line="360" w:lineRule="exact"/>
        <w:ind w:firstLine="420"/>
        <w:rPr>
          <w:rFonts w:asciiTheme="minorEastAsia" w:hAnsiTheme="minorEastAsia" w:eastAsiaTheme="minorEastAsia"/>
          <w:szCs w:val="21"/>
        </w:rPr>
      </w:pPr>
      <w:r>
        <w:rPr>
          <w:rFonts w:asciiTheme="minorEastAsia" w:hAnsiTheme="minorEastAsia" w:eastAsiaTheme="minorEastAsia"/>
        </w:rPr>
        <w:t>驾驶员耳位</w:t>
      </w:r>
      <w:r>
        <w:rPr>
          <w:rFonts w:asciiTheme="minorEastAsia" w:hAnsiTheme="minorEastAsia" w:eastAsiaTheme="minorEastAsia"/>
          <w:szCs w:val="21"/>
        </w:rPr>
        <w:t>噪声</w:t>
      </w:r>
      <w:r>
        <w:rPr>
          <w:rFonts w:hint="eastAsia" w:asciiTheme="minorEastAsia" w:hAnsiTheme="minorEastAsia" w:eastAsiaTheme="minorEastAsia"/>
          <w:szCs w:val="21"/>
        </w:rPr>
        <w:t>和</w:t>
      </w:r>
      <w:r>
        <w:rPr>
          <w:rFonts w:asciiTheme="minorEastAsia" w:hAnsiTheme="minorEastAsia" w:eastAsiaTheme="minorEastAsia"/>
        </w:rPr>
        <w:t>加速行驶噪声</w:t>
      </w:r>
      <w:r>
        <w:rPr>
          <w:rFonts w:hint="eastAsia" w:asciiTheme="minorEastAsia" w:hAnsiTheme="minorEastAsia" w:eastAsiaTheme="minorEastAsia"/>
        </w:rPr>
        <w:t>分别</w:t>
      </w:r>
      <w:r>
        <w:rPr>
          <w:rFonts w:asciiTheme="minorEastAsia" w:hAnsiTheme="minorEastAsia" w:eastAsiaTheme="minorEastAsia"/>
          <w:szCs w:val="21"/>
        </w:rPr>
        <w:t>按GB/T 19118</w:t>
      </w:r>
      <w:r>
        <w:rPr>
          <w:rFonts w:hint="eastAsia" w:asciiTheme="minorEastAsia" w:hAnsiTheme="minorEastAsia" w:eastAsiaTheme="minorEastAsia"/>
          <w:szCs w:val="21"/>
        </w:rPr>
        <w:t>和</w:t>
      </w:r>
      <w:r>
        <w:rPr>
          <w:rFonts w:asciiTheme="minorEastAsia" w:hAnsiTheme="minorEastAsia" w:eastAsiaTheme="minorEastAsia"/>
          <w:szCs w:val="21"/>
        </w:rPr>
        <w:t>GB 19757的规定进行测量并判定是否合格。</w:t>
      </w:r>
    </w:p>
    <w:p w14:paraId="7FBD440D">
      <w:pPr>
        <w:pStyle w:val="6"/>
        <w:spacing w:before="156" w:beforeLines="50" w:after="156" w:afterLines="50" w:line="360" w:lineRule="exact"/>
        <w:rPr>
          <w:rFonts w:ascii="黑体" w:hAnsi="黑体" w:eastAsia="黑体"/>
        </w:rPr>
      </w:pPr>
      <w:r>
        <w:rPr>
          <w:rFonts w:hint="eastAsia" w:ascii="黑体" w:hAnsi="黑体" w:eastAsia="黑体"/>
        </w:rPr>
        <w:t>6</w:t>
      </w:r>
      <w:r>
        <w:rPr>
          <w:rFonts w:ascii="黑体" w:hAnsi="黑体" w:eastAsia="黑体"/>
        </w:rPr>
        <w:t>.1</w:t>
      </w:r>
      <w:r>
        <w:rPr>
          <w:rFonts w:hint="eastAsia" w:ascii="黑体" w:hAnsi="黑体" w:eastAsia="黑体"/>
          <w:lang w:val="en-US" w:eastAsia="zh-CN"/>
        </w:rPr>
        <w:t>3</w:t>
      </w:r>
      <w:r>
        <w:rPr>
          <w:rFonts w:ascii="黑体" w:hAnsi="黑体" w:eastAsia="黑体"/>
        </w:rPr>
        <w:t xml:space="preserve">  </w:t>
      </w:r>
      <w:r>
        <w:rPr>
          <w:rFonts w:hint="eastAsia" w:ascii="黑体" w:hAnsi="黑体" w:eastAsia="黑体"/>
        </w:rPr>
        <w:t>排气管和</w:t>
      </w:r>
      <w:r>
        <w:rPr>
          <w:rFonts w:ascii="黑体" w:hAnsi="黑体" w:eastAsia="黑体"/>
        </w:rPr>
        <w:t>排气污染物</w:t>
      </w:r>
    </w:p>
    <w:p w14:paraId="0666FFDB">
      <w:pPr>
        <w:pStyle w:val="6"/>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用目测和常规测量工具检查三轮汽车发动机的排气管的位置和方向是否合格。三轮汽车自由加速排气烟度限值按GB 36886的规定进行测量并判定是否合格。</w:t>
      </w:r>
    </w:p>
    <w:p w14:paraId="7C71A8AF">
      <w:pPr>
        <w:pStyle w:val="6"/>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三轮汽车用柴油机排气污染物排放限值按GB 20891的规定进行测量并判定是否合格。</w:t>
      </w:r>
    </w:p>
    <w:p w14:paraId="64441657">
      <w:pPr>
        <w:pStyle w:val="6"/>
        <w:spacing w:before="156" w:beforeLines="50" w:after="156" w:afterLines="50" w:line="360" w:lineRule="exact"/>
        <w:rPr>
          <w:rFonts w:hint="default" w:ascii="黑体" w:hAnsi="黑体" w:eastAsia="黑体"/>
          <w:lang w:val="en-US" w:eastAsia="zh-CN"/>
        </w:rPr>
      </w:pPr>
      <w:r>
        <w:rPr>
          <w:rFonts w:hint="eastAsia" w:ascii="黑体" w:hAnsi="黑体" w:eastAsia="黑体"/>
        </w:rPr>
        <w:t>6</w:t>
      </w:r>
      <w:r>
        <w:rPr>
          <w:rFonts w:ascii="黑体" w:hAnsi="黑体" w:eastAsia="黑体"/>
        </w:rPr>
        <w:t>.1</w:t>
      </w:r>
      <w:r>
        <w:rPr>
          <w:rFonts w:hint="eastAsia" w:ascii="黑体" w:hAnsi="黑体" w:eastAsia="黑体"/>
          <w:lang w:val="en-US" w:eastAsia="zh-CN"/>
        </w:rPr>
        <w:t>4</w:t>
      </w:r>
      <w:r>
        <w:rPr>
          <w:rFonts w:ascii="黑体" w:hAnsi="黑体" w:eastAsia="黑体"/>
        </w:rPr>
        <w:t xml:space="preserve">  </w:t>
      </w:r>
      <w:r>
        <w:rPr>
          <w:rFonts w:hint="eastAsia" w:ascii="黑体" w:hAnsi="黑体" w:eastAsia="黑体"/>
          <w:lang w:val="en-US" w:eastAsia="zh-CN"/>
        </w:rPr>
        <w:t>燃料消耗量</w:t>
      </w:r>
    </w:p>
    <w:p w14:paraId="6479C5FB">
      <w:pPr>
        <w:pStyle w:val="6"/>
        <w:spacing w:line="360" w:lineRule="exact"/>
        <w:ind w:firstLine="420" w:firstLineChars="200"/>
        <w:rPr>
          <w:rFonts w:hint="default" w:eastAsia="宋体" w:asciiTheme="minorEastAsia" w:hAnsiTheme="minorEastAsia"/>
          <w:szCs w:val="21"/>
          <w:lang w:val="en-US" w:eastAsia="zh-CN"/>
        </w:rPr>
      </w:pPr>
      <w:r>
        <w:rPr>
          <w:rFonts w:hint="eastAsia" w:hAnsi="宋体"/>
          <w:lang w:val="en-US" w:eastAsia="zh-CN"/>
        </w:rPr>
        <w:t>安装柴油发动机的三轮汽车燃料消耗量按</w:t>
      </w:r>
      <w:r>
        <w:rPr>
          <w:rFonts w:ascii="宋体" w:hAnsi="宋体"/>
        </w:rPr>
        <w:t>GB 21377</w:t>
      </w:r>
      <w:r>
        <w:rPr>
          <w:rFonts w:hint="eastAsia" w:hAnsi="宋体"/>
          <w:lang w:val="en-US" w:eastAsia="zh-CN"/>
        </w:rPr>
        <w:t>的规定进行测量，并判断其是否满足限值要求。</w:t>
      </w:r>
    </w:p>
    <w:p w14:paraId="7A902CCB">
      <w:pPr>
        <w:pStyle w:val="6"/>
        <w:spacing w:before="156" w:beforeLines="50" w:after="156" w:afterLines="50" w:line="360" w:lineRule="exact"/>
        <w:rPr>
          <w:rFonts w:ascii="黑体" w:hAnsi="黑体" w:eastAsia="黑体"/>
        </w:rPr>
      </w:pPr>
      <w:r>
        <w:rPr>
          <w:rFonts w:hint="eastAsia" w:ascii="黑体" w:hAnsi="黑体" w:eastAsia="黑体"/>
        </w:rPr>
        <w:t>6</w:t>
      </w:r>
      <w:r>
        <w:rPr>
          <w:rFonts w:ascii="黑体" w:hAnsi="黑体" w:eastAsia="黑体"/>
        </w:rPr>
        <w:t>.1</w:t>
      </w:r>
      <w:r>
        <w:rPr>
          <w:rFonts w:hint="eastAsia" w:ascii="黑体" w:hAnsi="黑体" w:eastAsia="黑体"/>
          <w:lang w:val="en-US" w:eastAsia="zh-CN"/>
        </w:rPr>
        <w:t>5</w:t>
      </w:r>
      <w:r>
        <w:rPr>
          <w:rFonts w:ascii="黑体" w:hAnsi="黑体" w:eastAsia="黑体"/>
        </w:rPr>
        <w:t xml:space="preserve"> </w:t>
      </w:r>
      <w:r>
        <w:rPr>
          <w:rFonts w:hint="eastAsia" w:ascii="黑体" w:hAnsi="黑体" w:eastAsia="黑体"/>
        </w:rPr>
        <w:t xml:space="preserve"> </w:t>
      </w:r>
      <w:r>
        <w:rPr>
          <w:rFonts w:ascii="黑体" w:hAnsi="黑体" w:eastAsia="黑体"/>
        </w:rPr>
        <w:t>使用信息</w:t>
      </w:r>
    </w:p>
    <w:p w14:paraId="72E4077E">
      <w:pPr>
        <w:pStyle w:val="6"/>
        <w:spacing w:line="360" w:lineRule="exact"/>
        <w:rPr>
          <w:rFonts w:ascii="Times New Roman" w:hAnsi="Times New Roman"/>
          <w:szCs w:val="21"/>
        </w:rPr>
      </w:pPr>
      <w:r>
        <w:rPr>
          <w:rFonts w:hint="eastAsia" w:ascii="Times New Roman" w:hAnsi="Times New Roman"/>
          <w:szCs w:val="21"/>
          <w:lang w:eastAsia="zh-CN"/>
        </w:rPr>
        <w:t>6.1</w:t>
      </w:r>
      <w:r>
        <w:rPr>
          <w:rFonts w:hint="eastAsia" w:ascii="Times New Roman" w:hAnsi="Times New Roman"/>
          <w:szCs w:val="21"/>
          <w:lang w:val="en-US" w:eastAsia="zh-CN"/>
        </w:rPr>
        <w:t>5</w:t>
      </w:r>
      <w:r>
        <w:rPr>
          <w:rFonts w:hint="eastAsia" w:ascii="Times New Roman" w:hAnsi="Times New Roman"/>
          <w:szCs w:val="21"/>
        </w:rPr>
        <w:t>.1  整车标记、图形标志、安全标志</w:t>
      </w:r>
      <w:r>
        <w:rPr>
          <w:rFonts w:ascii="Times New Roman" w:hAnsi="Times New Roman"/>
          <w:szCs w:val="21"/>
        </w:rPr>
        <w:t>用目测和常规线性尺寸量具检查是否合格。</w:t>
      </w:r>
    </w:p>
    <w:p w14:paraId="2D1ECEB4">
      <w:pPr>
        <w:pStyle w:val="6"/>
        <w:spacing w:line="360" w:lineRule="exact"/>
        <w:rPr>
          <w:rFonts w:asciiTheme="minorEastAsia" w:hAnsiTheme="minorEastAsia" w:eastAsiaTheme="minorEastAsia"/>
          <w:szCs w:val="21"/>
        </w:rPr>
      </w:pPr>
      <w:r>
        <w:rPr>
          <w:rFonts w:hint="eastAsia" w:ascii="Times New Roman" w:hAnsi="Times New Roman"/>
          <w:szCs w:val="21"/>
          <w:lang w:eastAsia="zh-CN"/>
        </w:rPr>
        <w:t>6.1</w:t>
      </w:r>
      <w:r>
        <w:rPr>
          <w:rFonts w:hint="eastAsia" w:ascii="Times New Roman" w:hAnsi="Times New Roman"/>
          <w:szCs w:val="21"/>
          <w:lang w:val="en-US" w:eastAsia="zh-CN"/>
        </w:rPr>
        <w:t>5</w:t>
      </w:r>
      <w:r>
        <w:rPr>
          <w:rFonts w:hint="eastAsia" w:ascii="Times New Roman" w:hAnsi="Times New Roman"/>
          <w:szCs w:val="21"/>
        </w:rPr>
        <w:t xml:space="preserve">.2  </w:t>
      </w:r>
      <w:r>
        <w:rPr>
          <w:rFonts w:asciiTheme="minorEastAsia" w:hAnsiTheme="minorEastAsia" w:eastAsiaTheme="minorEastAsia"/>
          <w:szCs w:val="21"/>
        </w:rPr>
        <w:t>安全标志耐久性是否合格按下列方法考核：首先用沾水湿布擦拭标志15 s，随后再用浸过汽油的布擦拭15 s。试验后，标志仍应清晰明了，不能被轻易揭去，也不应发生卷边现象。</w:t>
      </w:r>
    </w:p>
    <w:p w14:paraId="14E4CAAD">
      <w:pPr>
        <w:pStyle w:val="6"/>
        <w:spacing w:line="360" w:lineRule="exact"/>
        <w:rPr>
          <w:rFonts w:ascii="Times New Roman" w:hAnsi="Times New Roman"/>
          <w:szCs w:val="21"/>
        </w:rPr>
      </w:pPr>
      <w:r>
        <w:rPr>
          <w:rFonts w:hint="eastAsia" w:ascii="Times New Roman" w:hAnsi="Times New Roman"/>
          <w:szCs w:val="21"/>
          <w:lang w:eastAsia="zh-CN"/>
        </w:rPr>
        <w:t>6.1</w:t>
      </w:r>
      <w:r>
        <w:rPr>
          <w:rFonts w:hint="eastAsia" w:ascii="Times New Roman" w:hAnsi="Times New Roman"/>
          <w:szCs w:val="21"/>
          <w:lang w:val="en-US" w:eastAsia="zh-CN"/>
        </w:rPr>
        <w:t>5</w:t>
      </w:r>
      <w:r>
        <w:rPr>
          <w:rFonts w:hint="eastAsia" w:ascii="Times New Roman" w:hAnsi="Times New Roman"/>
          <w:szCs w:val="21"/>
        </w:rPr>
        <w:t xml:space="preserve">.3  </w:t>
      </w:r>
      <w:r>
        <w:rPr>
          <w:rFonts w:ascii="Times New Roman" w:hAnsi="Times New Roman"/>
          <w:szCs w:val="21"/>
        </w:rPr>
        <w:t>检查使用说明书的相关内容是否合格。</w:t>
      </w:r>
    </w:p>
    <w:p w14:paraId="31BDFDF3">
      <w:pPr>
        <w:pStyle w:val="6"/>
        <w:spacing w:line="360" w:lineRule="exact"/>
        <w:rPr>
          <w:rFonts w:ascii="Times New Roman" w:hAnsi="Times New Roman"/>
          <w:szCs w:val="21"/>
        </w:rPr>
      </w:pPr>
    </w:p>
    <w:p w14:paraId="44B055CE">
      <w:pPr>
        <w:spacing w:line="360" w:lineRule="exact"/>
        <w:rPr>
          <w:szCs w:val="21"/>
        </w:rPr>
      </w:pPr>
    </w:p>
    <w:p w14:paraId="5989F901">
      <w:pPr>
        <w:spacing w:line="360" w:lineRule="exact"/>
        <w:rPr>
          <w:szCs w:val="21"/>
        </w:rPr>
      </w:pPr>
    </w:p>
    <w:p w14:paraId="2D91BBFF">
      <w:pPr>
        <w:spacing w:line="360" w:lineRule="exact"/>
        <w:rPr>
          <w:szCs w:val="21"/>
        </w:rPr>
      </w:pPr>
      <w:r>
        <w:rPr>
          <w:szCs w:val="21"/>
        </w:rPr>
        <w:br w:type="page"/>
      </w:r>
    </w:p>
    <w:p w14:paraId="1AB64992">
      <w:pPr>
        <w:spacing w:line="360" w:lineRule="exact"/>
        <w:jc w:val="center"/>
        <w:rPr>
          <w:rFonts w:ascii="黑体" w:hAnsi="黑体" w:eastAsia="黑体"/>
          <w:szCs w:val="21"/>
        </w:rPr>
      </w:pPr>
      <w:r>
        <w:rPr>
          <w:rFonts w:ascii="黑体" w:hAnsi="黑体" w:eastAsia="黑体"/>
          <w:szCs w:val="21"/>
        </w:rPr>
        <w:t>附录A</w:t>
      </w:r>
    </w:p>
    <w:p w14:paraId="59382E29">
      <w:pPr>
        <w:spacing w:line="360" w:lineRule="exact"/>
        <w:jc w:val="center"/>
        <w:rPr>
          <w:rFonts w:ascii="黑体" w:hAnsi="黑体" w:eastAsia="黑体"/>
          <w:szCs w:val="21"/>
        </w:rPr>
      </w:pPr>
      <w:r>
        <w:rPr>
          <w:rFonts w:ascii="黑体" w:hAnsi="黑体" w:eastAsia="黑体"/>
          <w:szCs w:val="21"/>
        </w:rPr>
        <w:t>三轮汽车用安全标志</w:t>
      </w:r>
    </w:p>
    <w:p w14:paraId="7D7F2911">
      <w:pPr>
        <w:spacing w:line="360" w:lineRule="exact"/>
        <w:jc w:val="center"/>
        <w:rPr>
          <w:rFonts w:ascii="黑体" w:hAnsi="黑体" w:eastAsia="黑体"/>
          <w:szCs w:val="21"/>
        </w:rPr>
      </w:pPr>
      <w:r>
        <w:rPr>
          <w:rFonts w:hint="eastAsia" w:ascii="黑体" w:hAnsi="黑体" w:eastAsia="黑体"/>
          <w:szCs w:val="21"/>
        </w:rPr>
        <w:t>（</w:t>
      </w:r>
      <w:r>
        <w:rPr>
          <w:rFonts w:ascii="黑体" w:hAnsi="黑体" w:eastAsia="黑体"/>
          <w:szCs w:val="21"/>
        </w:rPr>
        <w:t>规范性</w:t>
      </w:r>
      <w:r>
        <w:rPr>
          <w:rFonts w:hint="eastAsia" w:ascii="黑体" w:hAnsi="黑体" w:eastAsia="黑体"/>
          <w:szCs w:val="21"/>
        </w:rPr>
        <w:t>）</w:t>
      </w:r>
    </w:p>
    <w:p w14:paraId="2B301FD8">
      <w:pPr>
        <w:pStyle w:val="6"/>
        <w:spacing w:before="156" w:beforeLines="50" w:after="156" w:afterLines="50" w:line="360" w:lineRule="exact"/>
        <w:rPr>
          <w:rFonts w:ascii="黑体" w:hAnsi="黑体" w:eastAsia="黑体"/>
        </w:rPr>
      </w:pPr>
      <w:r>
        <w:rPr>
          <w:rFonts w:ascii="黑体" w:hAnsi="黑体" w:eastAsia="黑体"/>
        </w:rPr>
        <w:t>A.1  安全标志的型式</w:t>
      </w:r>
    </w:p>
    <w:p w14:paraId="2B0AA65B">
      <w:pPr>
        <w:spacing w:line="360" w:lineRule="exact"/>
        <w:rPr>
          <w:rFonts w:eastAsia="方正书宋简体"/>
          <w:szCs w:val="20"/>
        </w:rPr>
      </w:pPr>
      <w:r>
        <w:rPr>
          <w:rFonts w:eastAsia="方正书宋简体"/>
          <w:szCs w:val="20"/>
        </w:rPr>
        <w:t>A.1.1  安全标志有以下4种标准型式：</w:t>
      </w:r>
    </w:p>
    <w:p w14:paraId="5B951765">
      <w:pPr>
        <w:spacing w:line="360" w:lineRule="exact"/>
        <w:ind w:firstLine="420" w:firstLineChars="200"/>
        <w:rPr>
          <w:rFonts w:eastAsia="方正书宋简体"/>
          <w:szCs w:val="20"/>
        </w:rPr>
      </w:pPr>
      <w:r>
        <w:rPr>
          <w:rFonts w:eastAsia="方正书宋简体"/>
          <w:szCs w:val="20"/>
        </w:rPr>
        <w:t>——符号带和文字带组成的两带式安全标志；</w:t>
      </w:r>
    </w:p>
    <w:p w14:paraId="4DFC0160">
      <w:pPr>
        <w:spacing w:line="360" w:lineRule="exact"/>
        <w:ind w:firstLine="420" w:firstLineChars="200"/>
        <w:rPr>
          <w:rFonts w:eastAsia="方正书宋简体"/>
          <w:szCs w:val="20"/>
        </w:rPr>
      </w:pPr>
      <w:r>
        <w:rPr>
          <w:rFonts w:eastAsia="方正书宋简体"/>
          <w:szCs w:val="20"/>
        </w:rPr>
        <w:t>——符号带、图形带和文字带组成的三带式安全标志；</w:t>
      </w:r>
    </w:p>
    <w:p w14:paraId="2EAFCD21">
      <w:pPr>
        <w:spacing w:line="360" w:lineRule="exact"/>
        <w:ind w:firstLine="420" w:firstLineChars="200"/>
        <w:rPr>
          <w:rFonts w:eastAsia="方正书宋简体"/>
          <w:szCs w:val="20"/>
        </w:rPr>
      </w:pPr>
      <w:r>
        <w:rPr>
          <w:rFonts w:eastAsia="方正书宋简体"/>
          <w:szCs w:val="20"/>
        </w:rPr>
        <w:t>——图形带和文字带组成的两带式安全标志；</w:t>
      </w:r>
    </w:p>
    <w:p w14:paraId="50D47326">
      <w:pPr>
        <w:spacing w:line="360" w:lineRule="exact"/>
        <w:ind w:firstLine="420" w:firstLineChars="200"/>
        <w:rPr>
          <w:rFonts w:eastAsia="方正书宋简体"/>
        </w:rPr>
      </w:pPr>
      <w:r>
        <w:rPr>
          <w:rFonts w:eastAsia="方正书宋简体"/>
          <w:szCs w:val="20"/>
        </w:rPr>
        <w:t>——两个图形带组成的两带式安全标志。</w:t>
      </w:r>
    </w:p>
    <w:p w14:paraId="2555029D">
      <w:pPr>
        <w:pStyle w:val="32"/>
        <w:numPr>
          <w:ilvl w:val="0"/>
          <w:numId w:val="0"/>
        </w:numPr>
        <w:spacing w:before="0" w:beforeLines="0" w:after="0" w:afterLines="0" w:line="360" w:lineRule="exact"/>
        <w:rPr>
          <w:rFonts w:ascii="Times New Roman" w:eastAsia="方正书宋简体"/>
          <w:kern w:val="2"/>
        </w:rPr>
      </w:pPr>
      <w:r>
        <w:rPr>
          <w:rFonts w:ascii="Times New Roman" w:eastAsia="方正书宋简体"/>
          <w:kern w:val="2"/>
        </w:rPr>
        <w:t>A.1.2  各型式安全标志应符合</w:t>
      </w:r>
      <w:r>
        <w:rPr>
          <w:rFonts w:ascii="Times New Roman" w:eastAsia="方正书宋简体"/>
        </w:rPr>
        <w:t>GB 10396-2006</w:t>
      </w:r>
      <w:r>
        <w:rPr>
          <w:rFonts w:ascii="Times New Roman" w:eastAsia="方正书宋简体"/>
          <w:kern w:val="2"/>
        </w:rPr>
        <w:t>中4.4～4.7的规定。</w:t>
      </w:r>
    </w:p>
    <w:p w14:paraId="631E638E">
      <w:pPr>
        <w:pStyle w:val="32"/>
        <w:numPr>
          <w:ilvl w:val="0"/>
          <w:numId w:val="0"/>
        </w:numPr>
        <w:spacing w:before="0" w:beforeLines="0" w:after="0" w:afterLines="0" w:line="360" w:lineRule="exact"/>
        <w:rPr>
          <w:rFonts w:ascii="Times New Roman"/>
        </w:rPr>
      </w:pPr>
      <w:r>
        <w:rPr>
          <w:rFonts w:ascii="Times New Roman" w:eastAsia="方正书宋简体"/>
          <w:kern w:val="2"/>
        </w:rPr>
        <w:t>A.1.3  安全标志中的符号带、图形带、文字带的内容和构成等应符合</w:t>
      </w:r>
      <w:r>
        <w:rPr>
          <w:rFonts w:ascii="Times New Roman" w:eastAsia="方正书宋简体"/>
        </w:rPr>
        <w:t>GB 10396-2006</w:t>
      </w:r>
      <w:r>
        <w:rPr>
          <w:rFonts w:ascii="Times New Roman" w:eastAsia="方正书宋简体"/>
          <w:kern w:val="2"/>
        </w:rPr>
        <w:t xml:space="preserve"> 中第5～7章的规定。</w:t>
      </w:r>
    </w:p>
    <w:p w14:paraId="6FAE261A">
      <w:pPr>
        <w:pStyle w:val="6"/>
        <w:spacing w:before="156" w:beforeLines="50" w:after="156" w:afterLines="50" w:line="360" w:lineRule="exact"/>
        <w:rPr>
          <w:rFonts w:ascii="黑体" w:hAnsi="黑体" w:eastAsia="黑体"/>
        </w:rPr>
      </w:pPr>
      <w:r>
        <w:rPr>
          <w:rFonts w:ascii="黑体" w:hAnsi="黑体" w:eastAsia="黑体"/>
        </w:rPr>
        <w:t>A.2  安全标志的颜色和尺寸</w:t>
      </w:r>
    </w:p>
    <w:p w14:paraId="7F93A82F">
      <w:pPr>
        <w:spacing w:line="360" w:lineRule="exact"/>
        <w:rPr>
          <w:rFonts w:eastAsia="方正书宋简体"/>
          <w:szCs w:val="20"/>
        </w:rPr>
      </w:pPr>
      <w:r>
        <w:rPr>
          <w:rFonts w:eastAsia="方正书宋简体"/>
          <w:szCs w:val="20"/>
        </w:rPr>
        <w:t>A.2.1  包含安全程度标志词的安全标志各部位颜色应符合表A.1的规定。</w:t>
      </w:r>
    </w:p>
    <w:p w14:paraId="03CBFFA9">
      <w:pPr>
        <w:spacing w:before="156" w:beforeLines="50" w:line="360" w:lineRule="atLeast"/>
        <w:jc w:val="center"/>
        <w:rPr>
          <w:rFonts w:eastAsia="黑体"/>
        </w:rPr>
      </w:pPr>
      <w:r>
        <w:rPr>
          <w:rFonts w:eastAsia="黑体"/>
          <w:szCs w:val="20"/>
        </w:rPr>
        <w:t>表A.1 安全标志各部位颜色</w:t>
      </w:r>
    </w:p>
    <w:tbl>
      <w:tblPr>
        <w:tblStyle w:val="1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0"/>
        <w:gridCol w:w="1800"/>
        <w:gridCol w:w="1800"/>
        <w:gridCol w:w="1800"/>
      </w:tblGrid>
      <w:tr w14:paraId="596E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40" w:type="dxa"/>
            <w:vMerge w:val="restart"/>
            <w:vAlign w:val="center"/>
          </w:tcPr>
          <w:p w14:paraId="74038858">
            <w:pPr>
              <w:pStyle w:val="41"/>
              <w:widowControl w:val="0"/>
              <w:spacing w:before="0" w:line="360" w:lineRule="atLeast"/>
              <w:rPr>
                <w:rFonts w:asciiTheme="minorEastAsia" w:hAnsiTheme="minorEastAsia" w:eastAsiaTheme="minorEastAsia"/>
                <w:kern w:val="2"/>
                <w:sz w:val="18"/>
                <w:szCs w:val="18"/>
              </w:rPr>
            </w:pPr>
            <w:r>
              <w:rPr>
                <w:rFonts w:asciiTheme="minorEastAsia" w:hAnsiTheme="minorEastAsia" w:eastAsiaTheme="minorEastAsia"/>
                <w:kern w:val="2"/>
                <w:sz w:val="18"/>
                <w:szCs w:val="18"/>
              </w:rPr>
              <w:t>部位</w:t>
            </w:r>
          </w:p>
        </w:tc>
        <w:tc>
          <w:tcPr>
            <w:tcW w:w="5400" w:type="dxa"/>
            <w:gridSpan w:val="3"/>
            <w:vAlign w:val="center"/>
          </w:tcPr>
          <w:p w14:paraId="4498982D">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危险程度</w:t>
            </w:r>
          </w:p>
        </w:tc>
      </w:tr>
      <w:tr w14:paraId="4DCC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240" w:type="dxa"/>
            <w:vMerge w:val="continue"/>
            <w:vAlign w:val="center"/>
          </w:tcPr>
          <w:p w14:paraId="3FB8B1BB">
            <w:pPr>
              <w:spacing w:line="360" w:lineRule="atLeast"/>
              <w:jc w:val="center"/>
              <w:rPr>
                <w:rFonts w:asciiTheme="minorEastAsia" w:hAnsiTheme="minorEastAsia" w:eastAsiaTheme="minorEastAsia"/>
                <w:sz w:val="18"/>
                <w:szCs w:val="18"/>
              </w:rPr>
            </w:pPr>
          </w:p>
        </w:tc>
        <w:tc>
          <w:tcPr>
            <w:tcW w:w="1800" w:type="dxa"/>
            <w:vAlign w:val="center"/>
          </w:tcPr>
          <w:p w14:paraId="05014ABE">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危险</w:t>
            </w:r>
          </w:p>
        </w:tc>
        <w:tc>
          <w:tcPr>
            <w:tcW w:w="1800" w:type="dxa"/>
            <w:vAlign w:val="center"/>
          </w:tcPr>
          <w:p w14:paraId="742B8243">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警告</w:t>
            </w:r>
          </w:p>
        </w:tc>
        <w:tc>
          <w:tcPr>
            <w:tcW w:w="1800" w:type="dxa"/>
            <w:vAlign w:val="center"/>
          </w:tcPr>
          <w:p w14:paraId="0B99EE83">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注意</w:t>
            </w:r>
          </w:p>
        </w:tc>
      </w:tr>
      <w:tr w14:paraId="2756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vAlign w:val="center"/>
          </w:tcPr>
          <w:p w14:paraId="674B23DD">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符号带底色</w:t>
            </w:r>
          </w:p>
        </w:tc>
        <w:tc>
          <w:tcPr>
            <w:tcW w:w="1800" w:type="dxa"/>
            <w:vAlign w:val="center"/>
          </w:tcPr>
          <w:p w14:paraId="364EAF6B">
            <w:pPr>
              <w:pStyle w:val="41"/>
              <w:widowControl w:val="0"/>
              <w:spacing w:before="0" w:line="360" w:lineRule="atLeast"/>
              <w:rPr>
                <w:rFonts w:asciiTheme="minorEastAsia" w:hAnsiTheme="minorEastAsia" w:eastAsiaTheme="minorEastAsia"/>
                <w:kern w:val="2"/>
                <w:sz w:val="18"/>
                <w:szCs w:val="18"/>
              </w:rPr>
            </w:pPr>
            <w:r>
              <w:rPr>
                <w:rFonts w:asciiTheme="minorEastAsia" w:hAnsiTheme="minorEastAsia" w:eastAsiaTheme="minorEastAsia"/>
                <w:kern w:val="2"/>
                <w:sz w:val="18"/>
                <w:szCs w:val="18"/>
              </w:rPr>
              <w:t>红色</w:t>
            </w:r>
          </w:p>
        </w:tc>
        <w:tc>
          <w:tcPr>
            <w:tcW w:w="1800" w:type="dxa"/>
            <w:vAlign w:val="center"/>
          </w:tcPr>
          <w:p w14:paraId="10B41EF8">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橙色</w:t>
            </w:r>
          </w:p>
        </w:tc>
        <w:tc>
          <w:tcPr>
            <w:tcW w:w="1800" w:type="dxa"/>
            <w:vAlign w:val="center"/>
          </w:tcPr>
          <w:p w14:paraId="23947FF7">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黄色</w:t>
            </w:r>
          </w:p>
        </w:tc>
      </w:tr>
      <w:tr w14:paraId="75E0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40" w:type="dxa"/>
            <w:vAlign w:val="center"/>
          </w:tcPr>
          <w:p w14:paraId="2FA7B686">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危险程度标志词</w:t>
            </w:r>
          </w:p>
        </w:tc>
        <w:tc>
          <w:tcPr>
            <w:tcW w:w="1800" w:type="dxa"/>
            <w:vAlign w:val="center"/>
          </w:tcPr>
          <w:p w14:paraId="04ED5EC1">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白色</w:t>
            </w:r>
          </w:p>
        </w:tc>
        <w:tc>
          <w:tcPr>
            <w:tcW w:w="1800" w:type="dxa"/>
            <w:vAlign w:val="center"/>
          </w:tcPr>
          <w:p w14:paraId="1078CB7A">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黑色</w:t>
            </w:r>
          </w:p>
        </w:tc>
        <w:tc>
          <w:tcPr>
            <w:tcW w:w="1800" w:type="dxa"/>
            <w:vAlign w:val="center"/>
          </w:tcPr>
          <w:p w14:paraId="73DA2D00">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黑色</w:t>
            </w:r>
          </w:p>
        </w:tc>
      </w:tr>
      <w:tr w14:paraId="1613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vAlign w:val="center"/>
          </w:tcPr>
          <w:p w14:paraId="0F86FC32">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安全警戒三角形底色</w:t>
            </w:r>
          </w:p>
        </w:tc>
        <w:tc>
          <w:tcPr>
            <w:tcW w:w="1800" w:type="dxa"/>
            <w:vAlign w:val="center"/>
          </w:tcPr>
          <w:p w14:paraId="45398DA3">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白色</w:t>
            </w:r>
          </w:p>
        </w:tc>
        <w:tc>
          <w:tcPr>
            <w:tcW w:w="1800" w:type="dxa"/>
            <w:vAlign w:val="center"/>
          </w:tcPr>
          <w:p w14:paraId="11F34F74">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黑色</w:t>
            </w:r>
          </w:p>
        </w:tc>
        <w:tc>
          <w:tcPr>
            <w:tcW w:w="1800" w:type="dxa"/>
            <w:vAlign w:val="center"/>
          </w:tcPr>
          <w:p w14:paraId="607A67D4">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黑色</w:t>
            </w:r>
          </w:p>
        </w:tc>
      </w:tr>
      <w:tr w14:paraId="26DE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vAlign w:val="center"/>
          </w:tcPr>
          <w:p w14:paraId="40792760">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惊叹号</w:t>
            </w:r>
          </w:p>
        </w:tc>
        <w:tc>
          <w:tcPr>
            <w:tcW w:w="1800" w:type="dxa"/>
            <w:vAlign w:val="center"/>
          </w:tcPr>
          <w:p w14:paraId="3D099F88">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红色</w:t>
            </w:r>
          </w:p>
        </w:tc>
        <w:tc>
          <w:tcPr>
            <w:tcW w:w="1800" w:type="dxa"/>
            <w:vAlign w:val="center"/>
          </w:tcPr>
          <w:p w14:paraId="1057D842">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橙色</w:t>
            </w:r>
          </w:p>
        </w:tc>
        <w:tc>
          <w:tcPr>
            <w:tcW w:w="1800" w:type="dxa"/>
            <w:vAlign w:val="center"/>
          </w:tcPr>
          <w:p w14:paraId="2373F4F6">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黄色</w:t>
            </w:r>
          </w:p>
        </w:tc>
      </w:tr>
      <w:tr w14:paraId="6626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 w:hRule="atLeast"/>
        </w:trPr>
        <w:tc>
          <w:tcPr>
            <w:tcW w:w="3240" w:type="dxa"/>
            <w:tcBorders>
              <w:bottom w:val="single" w:color="auto" w:sz="4" w:space="0"/>
            </w:tcBorders>
            <w:vAlign w:val="center"/>
          </w:tcPr>
          <w:p w14:paraId="12B4E063">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图形带底色/图形带中图形</w:t>
            </w:r>
          </w:p>
        </w:tc>
        <w:tc>
          <w:tcPr>
            <w:tcW w:w="5400" w:type="dxa"/>
            <w:gridSpan w:val="3"/>
            <w:tcBorders>
              <w:bottom w:val="single" w:color="auto" w:sz="4" w:space="0"/>
            </w:tcBorders>
            <w:vAlign w:val="center"/>
          </w:tcPr>
          <w:p w14:paraId="1810C3DD">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白色/黑色</w:t>
            </w:r>
          </w:p>
        </w:tc>
      </w:tr>
      <w:tr w14:paraId="6D10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trPr>
        <w:tc>
          <w:tcPr>
            <w:tcW w:w="3240" w:type="dxa"/>
            <w:vMerge w:val="restart"/>
            <w:vAlign w:val="center"/>
          </w:tcPr>
          <w:p w14:paraId="76BA2607">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文字带底色/文字带文字</w:t>
            </w:r>
          </w:p>
        </w:tc>
        <w:tc>
          <w:tcPr>
            <w:tcW w:w="5400" w:type="dxa"/>
            <w:gridSpan w:val="3"/>
            <w:vAlign w:val="center"/>
          </w:tcPr>
          <w:p w14:paraId="361C017E">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黑色/白色</w:t>
            </w:r>
          </w:p>
        </w:tc>
      </w:tr>
      <w:tr w14:paraId="6BBA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 w:hRule="atLeast"/>
        </w:trPr>
        <w:tc>
          <w:tcPr>
            <w:tcW w:w="3240" w:type="dxa"/>
            <w:vMerge w:val="continue"/>
            <w:vAlign w:val="center"/>
          </w:tcPr>
          <w:p w14:paraId="0936DF40">
            <w:pPr>
              <w:spacing w:line="360" w:lineRule="atLeast"/>
              <w:jc w:val="center"/>
              <w:rPr>
                <w:rFonts w:asciiTheme="minorEastAsia" w:hAnsiTheme="minorEastAsia" w:eastAsiaTheme="minorEastAsia"/>
                <w:sz w:val="18"/>
                <w:szCs w:val="18"/>
              </w:rPr>
            </w:pPr>
          </w:p>
        </w:tc>
        <w:tc>
          <w:tcPr>
            <w:tcW w:w="5400" w:type="dxa"/>
            <w:gridSpan w:val="3"/>
            <w:vAlign w:val="center"/>
          </w:tcPr>
          <w:p w14:paraId="12F06174">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白色/黑色</w:t>
            </w:r>
          </w:p>
        </w:tc>
      </w:tr>
      <w:tr w14:paraId="41B7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0" w:type="dxa"/>
            <w:vAlign w:val="center"/>
          </w:tcPr>
          <w:p w14:paraId="2A70DAAA">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边框</w:t>
            </w:r>
          </w:p>
        </w:tc>
        <w:tc>
          <w:tcPr>
            <w:tcW w:w="1800" w:type="dxa"/>
            <w:vAlign w:val="center"/>
          </w:tcPr>
          <w:p w14:paraId="3D5343AA">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红色</w:t>
            </w:r>
          </w:p>
        </w:tc>
        <w:tc>
          <w:tcPr>
            <w:tcW w:w="1800" w:type="dxa"/>
            <w:vAlign w:val="center"/>
          </w:tcPr>
          <w:p w14:paraId="009D45D1">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橙色</w:t>
            </w:r>
          </w:p>
        </w:tc>
        <w:tc>
          <w:tcPr>
            <w:tcW w:w="1800" w:type="dxa"/>
            <w:vAlign w:val="center"/>
          </w:tcPr>
          <w:p w14:paraId="35C0EF48">
            <w:pPr>
              <w:spacing w:line="360" w:lineRule="atLeast"/>
              <w:jc w:val="center"/>
              <w:rPr>
                <w:rFonts w:asciiTheme="minorEastAsia" w:hAnsiTheme="minorEastAsia" w:eastAsiaTheme="minorEastAsia"/>
                <w:sz w:val="18"/>
                <w:szCs w:val="18"/>
              </w:rPr>
            </w:pPr>
            <w:r>
              <w:rPr>
                <w:rFonts w:asciiTheme="minorEastAsia" w:hAnsiTheme="minorEastAsia" w:eastAsiaTheme="minorEastAsia"/>
                <w:sz w:val="18"/>
                <w:szCs w:val="18"/>
              </w:rPr>
              <w:t>黄色</w:t>
            </w:r>
          </w:p>
        </w:tc>
      </w:tr>
    </w:tbl>
    <w:p w14:paraId="3DE35486">
      <w:pPr>
        <w:spacing w:before="156" w:beforeLines="50" w:line="360" w:lineRule="exact"/>
      </w:pPr>
      <w:r>
        <w:t>A.2.2  不</w:t>
      </w:r>
      <w:r>
        <w:rPr>
          <w:rFonts w:eastAsia="方正书宋简体"/>
          <w:szCs w:val="20"/>
        </w:rPr>
        <w:t>包含安全程度标志词的</w:t>
      </w:r>
      <w:r>
        <w:t>安全标志颜色及其它要求应符合</w:t>
      </w:r>
      <w:r>
        <w:rPr>
          <w:rFonts w:eastAsia="方正书宋简体"/>
          <w:szCs w:val="20"/>
        </w:rPr>
        <w:t>GB 10396-2006</w:t>
      </w:r>
      <w:r>
        <w:t xml:space="preserve"> 中第9章的规定。</w:t>
      </w:r>
    </w:p>
    <w:p w14:paraId="36AA0671">
      <w:pPr>
        <w:spacing w:line="360" w:lineRule="exact"/>
        <w:rPr>
          <w:rFonts w:eastAsia="方正书宋简体"/>
          <w:szCs w:val="20"/>
        </w:rPr>
      </w:pPr>
      <w:r>
        <w:rPr>
          <w:rFonts w:eastAsia="方正书宋简体"/>
          <w:szCs w:val="20"/>
        </w:rPr>
        <w:t>A.2.3  安全标志的尺寸应符合GB 10396-2006中第10章的规定。</w:t>
      </w:r>
    </w:p>
    <w:p w14:paraId="5F48EA93">
      <w:pPr>
        <w:pStyle w:val="6"/>
        <w:spacing w:before="156" w:beforeLines="50" w:after="156" w:afterLines="50" w:line="360" w:lineRule="exact"/>
        <w:rPr>
          <w:rFonts w:ascii="黑体" w:hAnsi="黑体" w:eastAsia="黑体"/>
        </w:rPr>
      </w:pPr>
      <w:r>
        <w:rPr>
          <w:rFonts w:ascii="黑体" w:hAnsi="黑体" w:eastAsia="黑体"/>
        </w:rPr>
        <w:t>A.3  使用原则</w:t>
      </w:r>
    </w:p>
    <w:p w14:paraId="443D5998">
      <w:pPr>
        <w:spacing w:line="360" w:lineRule="exact"/>
        <w:rPr>
          <w:rFonts w:eastAsia="方正书宋简体"/>
          <w:szCs w:val="20"/>
        </w:rPr>
      </w:pPr>
      <w:r>
        <w:rPr>
          <w:szCs w:val="21"/>
        </w:rPr>
        <w:t xml:space="preserve">A.3.1  </w:t>
      </w:r>
      <w:r>
        <w:rPr>
          <w:bCs/>
          <w:szCs w:val="21"/>
        </w:rPr>
        <w:t>安全标志应针对合理且</w:t>
      </w:r>
      <w:r>
        <w:rPr>
          <w:szCs w:val="21"/>
        </w:rPr>
        <w:t>可能存在的遗留风险，</w:t>
      </w:r>
      <w:r>
        <w:rPr>
          <w:bCs/>
          <w:szCs w:val="21"/>
        </w:rPr>
        <w:t>安全标志不应用于弥补</w:t>
      </w:r>
      <w:r>
        <w:rPr>
          <w:rFonts w:hint="eastAsia"/>
          <w:bCs/>
          <w:szCs w:val="21"/>
        </w:rPr>
        <w:t>三轮汽车</w:t>
      </w:r>
      <w:r>
        <w:rPr>
          <w:bCs/>
          <w:szCs w:val="21"/>
        </w:rPr>
        <w:t>设计缺陷和安全防护装置</w:t>
      </w:r>
      <w:r>
        <w:rPr>
          <w:szCs w:val="21"/>
        </w:rPr>
        <w:t>的缺失</w:t>
      </w:r>
      <w:r>
        <w:rPr>
          <w:bCs/>
          <w:szCs w:val="21"/>
        </w:rPr>
        <w:t>。</w:t>
      </w:r>
    </w:p>
    <w:p w14:paraId="459A5728">
      <w:pPr>
        <w:pStyle w:val="6"/>
        <w:spacing w:line="360" w:lineRule="exact"/>
        <w:rPr>
          <w:rFonts w:ascii="Times New Roman" w:hAnsi="Times New Roman"/>
          <w:szCs w:val="21"/>
        </w:rPr>
      </w:pPr>
      <w:r>
        <w:rPr>
          <w:rFonts w:ascii="Times New Roman" w:hAnsi="Times New Roman"/>
          <w:szCs w:val="21"/>
        </w:rPr>
        <w:t>A.3.2  安全标志可分别使用</w:t>
      </w:r>
      <w:r>
        <w:rPr>
          <w:rFonts w:hint="eastAsia" w:ascii="Times New Roman" w:hAnsi="Times New Roman"/>
          <w:szCs w:val="21"/>
        </w:rPr>
        <w:t>“</w:t>
      </w:r>
      <w:r>
        <w:rPr>
          <w:rFonts w:ascii="Times New Roman" w:hAnsi="Times New Roman" w:eastAsia="黑体"/>
          <w:szCs w:val="21"/>
        </w:rPr>
        <w:t>危险</w:t>
      </w:r>
      <w:r>
        <w:rPr>
          <w:rFonts w:hint="eastAsia" w:ascii="Times New Roman" w:hAnsi="Times New Roman" w:eastAsia="黑体"/>
          <w:szCs w:val="21"/>
        </w:rPr>
        <w:t>”</w:t>
      </w:r>
      <w:r>
        <w:rPr>
          <w:rFonts w:ascii="Times New Roman" w:hAnsi="Times New Roman"/>
          <w:szCs w:val="21"/>
        </w:rPr>
        <w:t>、</w:t>
      </w:r>
      <w:r>
        <w:rPr>
          <w:rFonts w:hint="eastAsia" w:ascii="Times New Roman" w:hAnsi="Times New Roman"/>
          <w:szCs w:val="21"/>
        </w:rPr>
        <w:t>“</w:t>
      </w:r>
      <w:r>
        <w:rPr>
          <w:rFonts w:ascii="Times New Roman" w:hAnsi="Times New Roman" w:eastAsia="黑体"/>
          <w:szCs w:val="21"/>
        </w:rPr>
        <w:t>警告</w:t>
      </w:r>
      <w:r>
        <w:rPr>
          <w:rFonts w:hint="eastAsia" w:ascii="Times New Roman" w:hAnsi="Times New Roman" w:eastAsia="黑体"/>
          <w:szCs w:val="21"/>
        </w:rPr>
        <w:t>”</w:t>
      </w:r>
      <w:r>
        <w:rPr>
          <w:rFonts w:ascii="Times New Roman" w:hAnsi="Times New Roman"/>
          <w:szCs w:val="21"/>
        </w:rPr>
        <w:t>、</w:t>
      </w:r>
      <w:r>
        <w:rPr>
          <w:rFonts w:hint="eastAsia" w:ascii="Times New Roman" w:hAnsi="Times New Roman"/>
          <w:szCs w:val="21"/>
        </w:rPr>
        <w:t>“</w:t>
      </w:r>
      <w:r>
        <w:rPr>
          <w:rFonts w:ascii="Times New Roman" w:hAnsi="Times New Roman" w:eastAsia="黑体"/>
          <w:szCs w:val="21"/>
        </w:rPr>
        <w:t>注意</w:t>
      </w:r>
      <w:r>
        <w:rPr>
          <w:rFonts w:hint="eastAsia" w:ascii="Times New Roman" w:hAnsi="Times New Roman" w:eastAsia="黑体"/>
          <w:szCs w:val="21"/>
        </w:rPr>
        <w:t>”</w:t>
      </w:r>
      <w:r>
        <w:rPr>
          <w:rFonts w:ascii="Times New Roman" w:hAnsi="Times New Roman"/>
          <w:szCs w:val="21"/>
        </w:rPr>
        <w:t>三个危险程度标志词之一标示面临危险的可能性和面临危险可能造成后果的相对严重程度。</w:t>
      </w:r>
    </w:p>
    <w:p w14:paraId="49CB167B">
      <w:pPr>
        <w:pStyle w:val="6"/>
        <w:spacing w:line="360" w:lineRule="exact"/>
        <w:ind w:firstLine="420" w:firstLineChars="200"/>
        <w:rPr>
          <w:rFonts w:ascii="Times New Roman" w:hAnsi="Times New Roman"/>
          <w:szCs w:val="21"/>
        </w:rPr>
      </w:pPr>
      <w:r>
        <w:rPr>
          <w:rFonts w:ascii="Times New Roman" w:hAnsi="Times New Roman"/>
          <w:szCs w:val="21"/>
        </w:rPr>
        <w:t>——危险程度标志词</w:t>
      </w:r>
      <w:r>
        <w:rPr>
          <w:rFonts w:hint="eastAsia" w:ascii="Times New Roman" w:hAnsi="Times New Roman"/>
          <w:szCs w:val="21"/>
        </w:rPr>
        <w:t>“</w:t>
      </w:r>
      <w:r>
        <w:rPr>
          <w:rFonts w:ascii="Times New Roman" w:hAnsi="Times New Roman" w:eastAsia="黑体"/>
          <w:szCs w:val="21"/>
        </w:rPr>
        <w:t>危险</w:t>
      </w:r>
      <w:r>
        <w:rPr>
          <w:rFonts w:hint="eastAsia" w:ascii="Times New Roman" w:hAnsi="Times New Roman" w:eastAsia="黑体"/>
          <w:szCs w:val="21"/>
        </w:rPr>
        <w:t>”</w:t>
      </w:r>
      <w:r>
        <w:rPr>
          <w:rFonts w:ascii="Times New Roman" w:hAnsi="Times New Roman"/>
          <w:szCs w:val="21"/>
        </w:rPr>
        <w:t>表示如果不避免，将造成死亡或严重伤害的危急危险情况。由危险程度标志词</w:t>
      </w:r>
      <w:r>
        <w:rPr>
          <w:rFonts w:hint="eastAsia" w:ascii="Times New Roman" w:hAnsi="Times New Roman"/>
          <w:szCs w:val="21"/>
        </w:rPr>
        <w:t>“</w:t>
      </w:r>
      <w:r>
        <w:rPr>
          <w:rFonts w:ascii="Times New Roman" w:hAnsi="Times New Roman" w:eastAsia="黑体"/>
          <w:szCs w:val="21"/>
        </w:rPr>
        <w:t>危险</w:t>
      </w:r>
      <w:r>
        <w:rPr>
          <w:rFonts w:hint="eastAsia" w:ascii="Times New Roman" w:hAnsi="Times New Roman" w:eastAsia="黑体"/>
          <w:szCs w:val="21"/>
        </w:rPr>
        <w:t>”</w:t>
      </w:r>
      <w:r>
        <w:rPr>
          <w:rFonts w:ascii="Times New Roman" w:hAnsi="Times New Roman"/>
          <w:szCs w:val="21"/>
        </w:rPr>
        <w:t>确定的安全标志不能滥用，只有在存在最严重危险的情况下才能使用；</w:t>
      </w:r>
    </w:p>
    <w:p w14:paraId="747911C7">
      <w:pPr>
        <w:pStyle w:val="6"/>
        <w:spacing w:line="360" w:lineRule="exact"/>
        <w:rPr>
          <w:rFonts w:ascii="Times New Roman" w:hAnsi="Times New Roman"/>
          <w:szCs w:val="21"/>
        </w:rPr>
      </w:pPr>
      <w:r>
        <w:rPr>
          <w:rFonts w:ascii="Times New Roman" w:hAnsi="Times New Roman"/>
          <w:szCs w:val="21"/>
        </w:rPr>
        <w:t xml:space="preserve">    ——危险程度标志</w:t>
      </w:r>
      <w:r>
        <w:rPr>
          <w:rFonts w:hint="eastAsia" w:ascii="Times New Roman" w:hAnsi="Times New Roman"/>
          <w:szCs w:val="21"/>
        </w:rPr>
        <w:t>“</w:t>
      </w:r>
      <w:r>
        <w:rPr>
          <w:rFonts w:ascii="Times New Roman" w:hAnsi="Times New Roman" w:eastAsia="黑体"/>
          <w:szCs w:val="21"/>
        </w:rPr>
        <w:t>警告</w:t>
      </w:r>
      <w:r>
        <w:rPr>
          <w:rFonts w:hint="eastAsia" w:ascii="Times New Roman" w:hAnsi="Times New Roman" w:eastAsia="黑体"/>
          <w:szCs w:val="21"/>
        </w:rPr>
        <w:t>”</w:t>
      </w:r>
      <w:r>
        <w:rPr>
          <w:rFonts w:ascii="Times New Roman" w:hAnsi="Times New Roman"/>
          <w:szCs w:val="21"/>
        </w:rPr>
        <w:t>表示如果不避免，可能造成死亡或严重伤害的潜在危险情况。由危险程度标志词</w:t>
      </w:r>
      <w:r>
        <w:rPr>
          <w:rFonts w:hint="eastAsia" w:ascii="Times New Roman" w:hAnsi="Times New Roman"/>
          <w:szCs w:val="21"/>
        </w:rPr>
        <w:t>“</w:t>
      </w:r>
      <w:r>
        <w:rPr>
          <w:rFonts w:ascii="Times New Roman" w:hAnsi="Times New Roman" w:eastAsia="黑体"/>
          <w:szCs w:val="21"/>
        </w:rPr>
        <w:t>警告</w:t>
      </w:r>
      <w:r>
        <w:rPr>
          <w:rFonts w:hint="eastAsia" w:ascii="Times New Roman" w:hAnsi="Times New Roman" w:eastAsia="黑体"/>
          <w:szCs w:val="21"/>
        </w:rPr>
        <w:t>”</w:t>
      </w:r>
      <w:r>
        <w:rPr>
          <w:rFonts w:ascii="Times New Roman" w:hAnsi="Times New Roman"/>
          <w:szCs w:val="21"/>
        </w:rPr>
        <w:t>确定的危险比由危险程度标志词</w:t>
      </w:r>
      <w:r>
        <w:rPr>
          <w:rFonts w:hint="eastAsia" w:ascii="Times New Roman" w:hAnsi="Times New Roman"/>
          <w:szCs w:val="21"/>
        </w:rPr>
        <w:t>“</w:t>
      </w:r>
      <w:r>
        <w:rPr>
          <w:rFonts w:ascii="Times New Roman" w:hAnsi="Times New Roman" w:eastAsia="黑体"/>
          <w:szCs w:val="21"/>
        </w:rPr>
        <w:t>危险</w:t>
      </w:r>
      <w:r>
        <w:rPr>
          <w:rFonts w:hint="eastAsia" w:ascii="Times New Roman" w:hAnsi="Times New Roman" w:eastAsia="黑体"/>
          <w:szCs w:val="21"/>
        </w:rPr>
        <w:t>”</w:t>
      </w:r>
      <w:r>
        <w:rPr>
          <w:rFonts w:ascii="Times New Roman" w:hAnsi="Times New Roman"/>
          <w:szCs w:val="21"/>
        </w:rPr>
        <w:t>确定危险造成的伤害或死亡的风险程度小；</w:t>
      </w:r>
    </w:p>
    <w:p w14:paraId="25DCDF40">
      <w:pPr>
        <w:pStyle w:val="6"/>
        <w:spacing w:line="360" w:lineRule="exact"/>
        <w:ind w:firstLine="420" w:firstLineChars="200"/>
        <w:rPr>
          <w:rFonts w:ascii="Times New Roman" w:hAnsi="Times New Roman"/>
          <w:szCs w:val="21"/>
        </w:rPr>
      </w:pPr>
      <w:r>
        <w:rPr>
          <w:rFonts w:ascii="Times New Roman" w:hAnsi="Times New Roman"/>
          <w:szCs w:val="21"/>
        </w:rPr>
        <w:t>——危险程度标志词</w:t>
      </w:r>
      <w:r>
        <w:rPr>
          <w:rFonts w:hint="eastAsia" w:ascii="Times New Roman" w:hAnsi="Times New Roman"/>
          <w:szCs w:val="21"/>
        </w:rPr>
        <w:t>“</w:t>
      </w:r>
      <w:r>
        <w:rPr>
          <w:rFonts w:ascii="Times New Roman" w:hAnsi="Times New Roman" w:eastAsia="黑体"/>
          <w:szCs w:val="21"/>
        </w:rPr>
        <w:t>注意</w:t>
      </w:r>
      <w:r>
        <w:rPr>
          <w:rFonts w:hint="eastAsia" w:ascii="Times New Roman" w:hAnsi="Times New Roman" w:eastAsia="黑体"/>
          <w:szCs w:val="21"/>
        </w:rPr>
        <w:t>”</w:t>
      </w:r>
      <w:r>
        <w:rPr>
          <w:rFonts w:ascii="Times New Roman" w:hAnsi="Times New Roman"/>
          <w:szCs w:val="21"/>
        </w:rPr>
        <w:t>表示如果不避免，可能造成较低或中等程度伤害的潜在危险情况。</w:t>
      </w:r>
      <w:r>
        <w:rPr>
          <w:rFonts w:hint="eastAsia" w:ascii="Times New Roman" w:hAnsi="Times New Roman"/>
          <w:szCs w:val="21"/>
        </w:rPr>
        <w:t>“</w:t>
      </w:r>
      <w:r>
        <w:rPr>
          <w:rFonts w:ascii="Times New Roman" w:hAnsi="Times New Roman" w:eastAsia="黑体"/>
          <w:szCs w:val="21"/>
        </w:rPr>
        <w:t>注意</w:t>
      </w:r>
      <w:r>
        <w:rPr>
          <w:rFonts w:hint="eastAsia" w:ascii="Times New Roman" w:hAnsi="Times New Roman" w:eastAsia="黑体"/>
          <w:szCs w:val="21"/>
        </w:rPr>
        <w:t>”</w:t>
      </w:r>
      <w:r>
        <w:rPr>
          <w:rFonts w:ascii="Times New Roman" w:hAnsi="Times New Roman"/>
          <w:szCs w:val="21"/>
        </w:rPr>
        <w:t>还可用来提醒避免进行能够造成人员伤害事件有关的非安全操作。</w:t>
      </w:r>
    </w:p>
    <w:p w14:paraId="4B28A81F">
      <w:pPr>
        <w:spacing w:line="360" w:lineRule="exact"/>
        <w:rPr>
          <w:szCs w:val="21"/>
        </w:rPr>
      </w:pPr>
      <w:r>
        <w:rPr>
          <w:szCs w:val="21"/>
        </w:rPr>
        <w:t xml:space="preserve">A.3.3  </w:t>
      </w:r>
      <w:r>
        <w:rPr>
          <w:bCs/>
          <w:kern w:val="0"/>
          <w:szCs w:val="21"/>
        </w:rPr>
        <w:t>安全标志应尽可能接近针对的危险部位，便于</w:t>
      </w:r>
      <w:r>
        <w:rPr>
          <w:szCs w:val="21"/>
        </w:rPr>
        <w:t>操作人员识别出安全标志所指示的信息</w:t>
      </w:r>
      <w:r>
        <w:rPr>
          <w:bCs/>
          <w:kern w:val="0"/>
          <w:szCs w:val="21"/>
        </w:rPr>
        <w:t>；</w:t>
      </w:r>
    </w:p>
    <w:p w14:paraId="1FBD7B04">
      <w:pPr>
        <w:spacing w:line="360" w:lineRule="exact"/>
        <w:rPr>
          <w:szCs w:val="21"/>
        </w:rPr>
      </w:pPr>
      <w:r>
        <w:rPr>
          <w:szCs w:val="21"/>
        </w:rPr>
        <w:t>A.3.4  安全标志不应设置在可拆卸的</w:t>
      </w:r>
      <w:r>
        <w:rPr>
          <w:rFonts w:hint="eastAsia"/>
          <w:szCs w:val="21"/>
        </w:rPr>
        <w:t>三轮汽车</w:t>
      </w:r>
      <w:r>
        <w:rPr>
          <w:szCs w:val="21"/>
        </w:rPr>
        <w:t>零部件上。</w:t>
      </w:r>
    </w:p>
    <w:p w14:paraId="1C7F6678">
      <w:pPr>
        <w:spacing w:line="360" w:lineRule="exact"/>
        <w:rPr>
          <w:szCs w:val="21"/>
        </w:rPr>
      </w:pPr>
      <w:r>
        <w:rPr>
          <w:szCs w:val="21"/>
        </w:rPr>
        <w:t xml:space="preserve">A.3.5  </w:t>
      </w:r>
      <w:r>
        <w:rPr>
          <w:bCs/>
          <w:kern w:val="0"/>
          <w:szCs w:val="21"/>
        </w:rPr>
        <w:t>根据</w:t>
      </w:r>
      <w:r>
        <w:rPr>
          <w:rFonts w:hint="eastAsia"/>
          <w:bCs/>
          <w:kern w:val="0"/>
          <w:szCs w:val="21"/>
        </w:rPr>
        <w:t>三轮汽车</w:t>
      </w:r>
      <w:r>
        <w:rPr>
          <w:bCs/>
          <w:kern w:val="0"/>
          <w:szCs w:val="21"/>
        </w:rPr>
        <w:t>结构特点、用途、使用条件等因素，合理设计安全标</w:t>
      </w:r>
      <w:r>
        <w:rPr>
          <w:bCs/>
          <w:kern w:val="0"/>
          <w:szCs w:val="20"/>
        </w:rPr>
        <w:t>志，以使安全标志最有效地传递安全信息。</w:t>
      </w:r>
      <w:r>
        <w:rPr>
          <w:bCs/>
          <w:szCs w:val="21"/>
        </w:rPr>
        <w:t>安全标志中应优先使用形象化图形。</w:t>
      </w:r>
      <w:r>
        <w:rPr>
          <w:szCs w:val="21"/>
        </w:rPr>
        <w:t>危险图形设计和绘制方法应遵循GB 10396-2006附录Ｄ规定的原则。</w:t>
      </w:r>
    </w:p>
    <w:p w14:paraId="2C2156C9">
      <w:pPr>
        <w:spacing w:line="360" w:lineRule="exact"/>
      </w:pPr>
      <w:r>
        <w:rPr>
          <w:szCs w:val="21"/>
        </w:rPr>
        <w:t xml:space="preserve">A.3.6  </w:t>
      </w:r>
      <w:r>
        <w:rPr>
          <w:bCs/>
          <w:kern w:val="0"/>
          <w:szCs w:val="21"/>
        </w:rPr>
        <w:t>安全标志应设置在</w:t>
      </w:r>
      <w:r>
        <w:rPr>
          <w:rFonts w:hint="eastAsia"/>
          <w:szCs w:val="21"/>
        </w:rPr>
        <w:t>三轮汽车</w:t>
      </w:r>
      <w:r>
        <w:rPr>
          <w:bCs/>
          <w:kern w:val="0"/>
          <w:szCs w:val="21"/>
        </w:rPr>
        <w:t>上</w:t>
      </w:r>
      <w:r>
        <w:rPr>
          <w:szCs w:val="21"/>
        </w:rPr>
        <w:t>。</w:t>
      </w:r>
      <w:r>
        <w:rPr>
          <w:bCs/>
          <w:kern w:val="0"/>
          <w:szCs w:val="21"/>
        </w:rPr>
        <w:t>使用说明书中还应给出所使用安全标志的图示、释义、在</w:t>
      </w:r>
      <w:r>
        <w:rPr>
          <w:rFonts w:hint="eastAsia"/>
          <w:bCs/>
          <w:kern w:val="0"/>
          <w:szCs w:val="21"/>
        </w:rPr>
        <w:t>三轮汽车</w:t>
      </w:r>
      <w:r>
        <w:rPr>
          <w:bCs/>
          <w:kern w:val="0"/>
          <w:szCs w:val="21"/>
        </w:rPr>
        <w:t>上的位置及检查、维护和更换事宜的</w:t>
      </w:r>
      <w:r>
        <w:rPr>
          <w:szCs w:val="21"/>
        </w:rPr>
        <w:t>详细说明。</w:t>
      </w:r>
    </w:p>
    <w:bookmarkEnd w:id="3"/>
    <w:p w14:paraId="1D1A63D6">
      <w:pPr>
        <w:pStyle w:val="6"/>
        <w:spacing w:before="156" w:beforeLines="50" w:after="156" w:afterLines="50" w:line="360" w:lineRule="exact"/>
        <w:rPr>
          <w:rFonts w:ascii="黑体" w:hAnsi="黑体" w:eastAsia="黑体"/>
        </w:rPr>
      </w:pPr>
      <w:r>
        <w:rPr>
          <w:rFonts w:hint="eastAsia" w:ascii="黑体" w:hAnsi="黑体" w:eastAsia="黑体"/>
        </w:rPr>
        <w:t>A.4  安全标志的使用及其典型示例</w:t>
      </w:r>
    </w:p>
    <w:p w14:paraId="3742F945">
      <w:pPr>
        <w:pStyle w:val="32"/>
        <w:numPr>
          <w:ilvl w:val="0"/>
          <w:numId w:val="0"/>
        </w:numPr>
        <w:spacing w:before="0" w:beforeLines="0" w:after="0" w:afterLines="0" w:line="360" w:lineRule="exact"/>
        <w:rPr>
          <w:rFonts w:ascii="Times New Roman" w:eastAsia="宋体"/>
        </w:rPr>
      </w:pPr>
      <w:r>
        <w:rPr>
          <w:rFonts w:ascii="Times New Roman" w:eastAsia="宋体"/>
        </w:rPr>
        <w:t xml:space="preserve">A.4.1  </w:t>
      </w:r>
      <w:r>
        <w:rPr>
          <w:rFonts w:ascii="Times New Roman"/>
        </w:rPr>
        <w:t>必备安全标志</w:t>
      </w:r>
    </w:p>
    <w:p w14:paraId="7E88D269">
      <w:pPr>
        <w:spacing w:line="360" w:lineRule="exact"/>
      </w:pPr>
      <w:r>
        <w:t>A.4.1</w:t>
      </w:r>
      <w:r>
        <w:rPr>
          <w:rFonts w:eastAsia="方正书宋简体"/>
          <w:szCs w:val="20"/>
        </w:rPr>
        <w:t>.1  自卸式三轮汽车车厢前部或附近明显位置应设置安全标志。</w:t>
      </w:r>
      <w:r>
        <w:rPr>
          <w:szCs w:val="20"/>
        </w:rPr>
        <w:t>可使用的</w:t>
      </w:r>
      <w:r>
        <w:t>典型安全标志示例如图A.1、图A.2、图A.3或图A.4所示；也可采用危险程度为“</w:t>
      </w:r>
      <w:r>
        <w:rPr>
          <w:rFonts w:eastAsia="黑体"/>
        </w:rPr>
        <w:t>警告</w:t>
      </w:r>
      <w:r>
        <w:t>”的安全标志，并有适当的描述危险图形和文字“车厢升降过程中，不应进入危险区。进入车厢下进行保养或维修前，应可靠锁紧锁定装置（或应可靠插上安全锁定装置；或应用安全锁定装置锁紧举升液压缸）”。</w:t>
      </w:r>
    </w:p>
    <w:p w14:paraId="48C756A0">
      <w:pPr>
        <w:spacing w:line="360" w:lineRule="exact"/>
      </w:pPr>
      <w:r>
        <w:t>A.4.1</w:t>
      </w:r>
      <w:r>
        <w:rPr>
          <w:rFonts w:eastAsia="方正书宋简体"/>
          <w:szCs w:val="20"/>
        </w:rPr>
        <w:t>.2  操作者立于三轮汽车外侧能触及的蒸发式发动机水箱口或高温表面附近应设置安全标志。</w:t>
      </w:r>
      <w:r>
        <w:rPr>
          <w:szCs w:val="20"/>
        </w:rPr>
        <w:t>可使用的</w:t>
      </w:r>
      <w:r>
        <w:t>典型安全标志示例如图A.5所示。也可采用危险程度为“</w:t>
      </w:r>
      <w:r>
        <w:rPr>
          <w:rFonts w:eastAsia="黑体"/>
        </w:rPr>
        <w:t>注意</w:t>
      </w:r>
      <w:r>
        <w:t>”的安全标志，并有适当的描述危险图形和文字“</w:t>
      </w:r>
      <w:r>
        <w:rPr>
          <w:szCs w:val="20"/>
        </w:rPr>
        <w:t>远离高温蒸汽（</w:t>
      </w:r>
      <w:r>
        <w:rPr>
          <w:rFonts w:eastAsia="方正书宋简体"/>
          <w:szCs w:val="20"/>
        </w:rPr>
        <w:t>或高温表面）</w:t>
      </w:r>
      <w:r>
        <w:t>”。</w:t>
      </w:r>
    </w:p>
    <w:p w14:paraId="2CDD417D">
      <w:pPr>
        <w:spacing w:line="360" w:lineRule="exact"/>
      </w:pPr>
      <w:r>
        <w:t>A.4.1</w:t>
      </w:r>
      <w:r>
        <w:rPr>
          <w:rFonts w:eastAsia="方正书宋简体"/>
          <w:szCs w:val="20"/>
        </w:rPr>
        <w:t>.3</w:t>
      </w:r>
      <w:r>
        <w:t xml:space="preserve">  </w:t>
      </w:r>
      <w:r>
        <w:rPr>
          <w:rFonts w:eastAsia="方正书宋简体"/>
          <w:szCs w:val="20"/>
        </w:rPr>
        <w:t>三轮汽车</w:t>
      </w:r>
      <w:r>
        <w:t>发动机运行或维修保养过程中，安全防护装置拆下或打开后会产生危险的，应在安全防护装置上或危险附近设置安全标志。</w:t>
      </w:r>
      <w:r>
        <w:rPr>
          <w:szCs w:val="20"/>
        </w:rPr>
        <w:t>可使用的</w:t>
      </w:r>
      <w:r>
        <w:t>典型安全标志示例如图A.7～图A.10所示。也可采用危险程度为“</w:t>
      </w:r>
      <w:r>
        <w:rPr>
          <w:rFonts w:eastAsia="黑体"/>
        </w:rPr>
        <w:t>警告</w:t>
      </w:r>
      <w:r>
        <w:t>”的安全标志，并有适当的描述危险图形和文字“发动机运转时，不应拆下或打开安全防护装置”。</w:t>
      </w:r>
    </w:p>
    <w:p w14:paraId="68D92EDE">
      <w:pPr>
        <w:spacing w:line="360" w:lineRule="exact"/>
        <w:rPr>
          <w:rFonts w:eastAsia="方正书宋简体"/>
          <w:szCs w:val="20"/>
        </w:rPr>
      </w:pPr>
      <w:r>
        <w:t>A.4</w:t>
      </w:r>
      <w:r>
        <w:rPr>
          <w:rFonts w:hint="eastAsia" w:eastAsia="方正书宋简体"/>
          <w:szCs w:val="20"/>
        </w:rPr>
        <w:t xml:space="preserve">.2  </w:t>
      </w:r>
      <w:r>
        <w:rPr>
          <w:rFonts w:hint="eastAsia" w:ascii="黑体" w:hAnsi="宋体" w:eastAsia="黑体"/>
          <w:kern w:val="0"/>
          <w:szCs w:val="20"/>
        </w:rPr>
        <w:t>选用安全标志</w:t>
      </w:r>
    </w:p>
    <w:p w14:paraId="27BF86C2">
      <w:pPr>
        <w:spacing w:line="360" w:lineRule="exact"/>
        <w:ind w:firstLine="420" w:firstLineChars="200"/>
        <w:rPr>
          <w:szCs w:val="21"/>
        </w:rPr>
      </w:pPr>
      <w:r>
        <w:rPr>
          <w:rFonts w:eastAsia="方正书宋简体"/>
          <w:szCs w:val="20"/>
        </w:rPr>
        <w:t>a）操作者立于三轮汽车外侧能触及的燃油箱口附近可设置安全标志。</w:t>
      </w:r>
      <w:r>
        <w:rPr>
          <w:szCs w:val="20"/>
        </w:rPr>
        <w:t>可使用的</w:t>
      </w:r>
      <w:r>
        <w:t>典型安全标志示例如图A.6所示。也可采用危险程度为“</w:t>
      </w:r>
      <w:r>
        <w:rPr>
          <w:rFonts w:eastAsia="黑体"/>
        </w:rPr>
        <w:t>注意</w:t>
      </w:r>
      <w:r>
        <w:t>”的安全标志，并有适当的描述危险图形和文字“</w:t>
      </w:r>
      <w:r>
        <w:rPr>
          <w:szCs w:val="20"/>
        </w:rPr>
        <w:t>油箱中燃油易燃，</w:t>
      </w:r>
      <w:r>
        <w:rPr>
          <w:szCs w:val="21"/>
        </w:rPr>
        <w:t>远离火或明火”。</w:t>
      </w:r>
    </w:p>
    <w:p w14:paraId="19D2CBE3">
      <w:pPr>
        <w:spacing w:line="360" w:lineRule="exact"/>
        <w:ind w:firstLine="420" w:firstLineChars="200"/>
      </w:pPr>
      <w:r>
        <w:t>b</w:t>
      </w:r>
      <w:r>
        <w:rPr>
          <w:rFonts w:eastAsia="方正书宋简体"/>
          <w:szCs w:val="20"/>
        </w:rPr>
        <w:t>）驾驶员乘坐在驾驶座上明显可视部位，可设置提醒阅读使用说明书的安全标志。</w:t>
      </w:r>
      <w:r>
        <w:rPr>
          <w:szCs w:val="20"/>
        </w:rPr>
        <w:t>可使用的</w:t>
      </w:r>
      <w:r>
        <w:t>典型安全标志示例如图A.11或图A.12所示。</w:t>
      </w:r>
    </w:p>
    <w:p w14:paraId="151DD508">
      <w:pPr>
        <w:spacing w:line="360" w:lineRule="exact"/>
        <w:ind w:firstLine="420" w:firstLineChars="200"/>
      </w:pPr>
      <w:r>
        <w:t>c</w:t>
      </w:r>
      <w:r>
        <w:rPr>
          <w:rFonts w:eastAsia="方正书宋简体"/>
          <w:szCs w:val="20"/>
        </w:rPr>
        <w:t>）高压液体管路及接头附近可</w:t>
      </w:r>
      <w:r>
        <w:rPr>
          <w:szCs w:val="20"/>
        </w:rPr>
        <w:t>设置</w:t>
      </w:r>
      <w:r>
        <w:t>图A.13所示</w:t>
      </w:r>
      <w:r>
        <w:rPr>
          <w:szCs w:val="20"/>
        </w:rPr>
        <w:t>的</w:t>
      </w:r>
      <w:r>
        <w:t>典型安全标志。</w:t>
      </w:r>
    </w:p>
    <w:p w14:paraId="11AC220D">
      <w:pPr>
        <w:spacing w:line="360" w:lineRule="exact"/>
        <w:ind w:firstLine="420" w:firstLineChars="200"/>
      </w:pPr>
      <w:r>
        <w:t>d）</w:t>
      </w:r>
      <w:r>
        <w:rPr>
          <w:rFonts w:eastAsia="方正书宋简体"/>
          <w:szCs w:val="20"/>
        </w:rPr>
        <w:t>三轮汽车钥匙开关附近</w:t>
      </w:r>
      <w:r>
        <w:rPr>
          <w:szCs w:val="20"/>
        </w:rPr>
        <w:t>可设置</w:t>
      </w:r>
      <w:r>
        <w:t>图A.14所示</w:t>
      </w:r>
      <w:r>
        <w:rPr>
          <w:szCs w:val="20"/>
        </w:rPr>
        <w:t>的</w:t>
      </w:r>
      <w:r>
        <w:t>典型安全标志。</w:t>
      </w:r>
    </w:p>
    <w:p w14:paraId="45624E84">
      <w:pPr>
        <w:spacing w:line="400" w:lineRule="exact"/>
        <w:ind w:firstLine="420" w:firstLineChars="200"/>
        <w:rPr>
          <w:rFonts w:eastAsia="方正书宋简体"/>
          <w:szCs w:val="20"/>
        </w:rPr>
      </w:pPr>
    </w:p>
    <w:p w14:paraId="7D319FC4">
      <w:pPr>
        <w:ind w:firstLine="1155" w:firstLineChars="550"/>
      </w:pPr>
      <w:r>
        <w:rPr>
          <w:rFonts w:hint="eastAsia"/>
        </w:rPr>
        <w:drawing>
          <wp:inline distT="0" distB="0" distL="0" distR="0">
            <wp:extent cx="1520190" cy="2872740"/>
            <wp:effectExtent l="0" t="0" r="3810" b="3810"/>
            <wp:docPr id="26" name="图片 2" desc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descr="C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20190" cy="2872740"/>
                    </a:xfrm>
                    <a:prstGeom prst="rect">
                      <a:avLst/>
                    </a:prstGeom>
                    <a:noFill/>
                    <a:ln>
                      <a:noFill/>
                    </a:ln>
                  </pic:spPr>
                </pic:pic>
              </a:graphicData>
            </a:graphic>
          </wp:inline>
        </w:drawing>
      </w:r>
      <w:r>
        <w:rPr>
          <w:rFonts w:hint="eastAsia"/>
        </w:rPr>
        <w:t xml:space="preserve">                     </w:t>
      </w:r>
      <w:r>
        <w:rPr>
          <w:rFonts w:eastAsia="黑体"/>
          <w:b/>
          <w:bCs/>
          <w:sz w:val="20"/>
        </w:rPr>
        <w:drawing>
          <wp:inline distT="0" distB="0" distL="0" distR="0">
            <wp:extent cx="1520190" cy="2872740"/>
            <wp:effectExtent l="0" t="0" r="3810" b="3810"/>
            <wp:docPr id="29" name="图片 3" desc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descr="C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20190" cy="2872740"/>
                    </a:xfrm>
                    <a:prstGeom prst="rect">
                      <a:avLst/>
                    </a:prstGeom>
                    <a:noFill/>
                    <a:ln>
                      <a:noFill/>
                    </a:ln>
                  </pic:spPr>
                </pic:pic>
              </a:graphicData>
            </a:graphic>
          </wp:inline>
        </w:drawing>
      </w:r>
    </w:p>
    <w:p w14:paraId="59B75ADE">
      <w:pPr>
        <w:spacing w:line="360" w:lineRule="atLeast"/>
        <w:ind w:firstLine="630" w:firstLineChars="300"/>
        <w:rPr>
          <w:rFonts w:ascii="黑体" w:hAnsi="黑体" w:eastAsia="黑体" w:cs="黑体"/>
        </w:rPr>
      </w:pPr>
      <w:r>
        <w:rPr>
          <w:rFonts w:hint="eastAsia" w:ascii="黑体" w:hAnsi="黑体" w:eastAsia="黑体" w:cs="黑体"/>
        </w:rPr>
        <w:t>图A.1  车厢升降过程中，不应进入危            图A.2  车厢升降过程中，不应进入危</w:t>
      </w:r>
    </w:p>
    <w:p w14:paraId="66F18F30">
      <w:pPr>
        <w:spacing w:line="360" w:lineRule="atLeast"/>
        <w:ind w:firstLine="1260" w:firstLineChars="600"/>
        <w:rPr>
          <w:rFonts w:ascii="黑体" w:hAnsi="黑体" w:eastAsia="黑体" w:cs="黑体"/>
        </w:rPr>
      </w:pPr>
      <w:r>
        <w:rPr>
          <w:rFonts w:hint="eastAsia" w:ascii="黑体" w:hAnsi="黑体" w:eastAsia="黑体" w:cs="黑体"/>
        </w:rPr>
        <w:t>险区。进入车厢下进行保养或                 险区。进入车厢下进行保养或</w:t>
      </w:r>
    </w:p>
    <w:p w14:paraId="55652206">
      <w:pPr>
        <w:spacing w:line="360" w:lineRule="atLeast"/>
        <w:ind w:firstLine="1260" w:firstLineChars="600"/>
        <w:rPr>
          <w:rFonts w:ascii="黑体" w:hAnsi="黑体" w:eastAsia="黑体" w:cs="黑体"/>
        </w:rPr>
      </w:pPr>
      <w:r>
        <w:rPr>
          <w:rFonts w:hint="eastAsia" w:ascii="黑体" w:hAnsi="黑体" w:eastAsia="黑体" w:cs="黑体"/>
        </w:rPr>
        <w:t>维修前，应支起保险杆                     维修前，应用安全锁定装置</w:t>
      </w:r>
    </w:p>
    <w:p w14:paraId="433E76E3">
      <w:pPr>
        <w:spacing w:line="360" w:lineRule="atLeast"/>
        <w:ind w:firstLine="5985" w:firstLineChars="2850"/>
        <w:rPr>
          <w:rFonts w:ascii="黑体" w:hAnsi="黑体" w:eastAsia="黑体" w:cs="黑体"/>
        </w:rPr>
      </w:pPr>
      <w:r>
        <w:rPr>
          <w:rFonts w:hint="eastAsia" w:ascii="黑体" w:hAnsi="黑体" w:eastAsia="黑体" w:cs="黑体"/>
        </w:rPr>
        <w:t>锁紧举升液压缸</w:t>
      </w:r>
    </w:p>
    <w:p w14:paraId="6F891FB4">
      <w:pPr>
        <w:ind w:firstLine="1155" w:firstLineChars="550"/>
        <w:rPr>
          <w:rFonts w:ascii="黑体" w:hAnsi="黑体" w:eastAsia="黑体" w:cs="黑体"/>
        </w:rPr>
      </w:pPr>
      <w:r>
        <w:rPr>
          <w:rFonts w:hint="eastAsia" w:ascii="黑体" w:hAnsi="黑体" w:eastAsia="黑体" w:cs="黑体"/>
        </w:rPr>
        <w:drawing>
          <wp:inline distT="0" distB="0" distL="0" distR="0">
            <wp:extent cx="1572895" cy="2971800"/>
            <wp:effectExtent l="0" t="0" r="8255" b="0"/>
            <wp:docPr id="45" name="图片 4" desc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descr="C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72895" cy="2971800"/>
                    </a:xfrm>
                    <a:prstGeom prst="rect">
                      <a:avLst/>
                    </a:prstGeom>
                    <a:noFill/>
                    <a:ln>
                      <a:noFill/>
                    </a:ln>
                  </pic:spPr>
                </pic:pic>
              </a:graphicData>
            </a:graphic>
          </wp:inline>
        </w:drawing>
      </w:r>
      <w:r>
        <w:rPr>
          <w:rFonts w:hint="eastAsia" w:ascii="黑体" w:hAnsi="黑体" w:eastAsia="黑体" w:cs="黑体"/>
        </w:rPr>
        <w:t xml:space="preserve">                    </w:t>
      </w:r>
      <w:r>
        <w:rPr>
          <w:rFonts w:hint="eastAsia" w:ascii="黑体" w:hAnsi="黑体" w:eastAsia="黑体" w:cs="黑体"/>
        </w:rPr>
        <w:drawing>
          <wp:inline distT="0" distB="0" distL="0" distR="0">
            <wp:extent cx="1571625" cy="2971800"/>
            <wp:effectExtent l="0" t="0" r="9525" b="0"/>
            <wp:docPr id="23" name="图片 5" desc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descr="C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71625" cy="2971800"/>
                    </a:xfrm>
                    <a:prstGeom prst="rect">
                      <a:avLst/>
                    </a:prstGeom>
                    <a:noFill/>
                    <a:ln>
                      <a:noFill/>
                    </a:ln>
                  </pic:spPr>
                </pic:pic>
              </a:graphicData>
            </a:graphic>
          </wp:inline>
        </w:drawing>
      </w:r>
      <w:r>
        <w:rPr>
          <w:rFonts w:hint="eastAsia" w:ascii="黑体" w:hAnsi="黑体" w:eastAsia="黑体" w:cs="黑体"/>
        </w:rPr>
        <w:t xml:space="preserve">    </w:t>
      </w:r>
    </w:p>
    <w:p w14:paraId="324453F2">
      <w:pPr>
        <w:spacing w:line="360" w:lineRule="atLeast"/>
        <w:ind w:firstLine="315" w:firstLineChars="150"/>
        <w:rPr>
          <w:rFonts w:ascii="黑体" w:hAnsi="黑体" w:eastAsia="黑体" w:cs="黑体"/>
        </w:rPr>
      </w:pPr>
      <w:r>
        <w:rPr>
          <w:rFonts w:hint="eastAsia" w:ascii="黑体" w:hAnsi="黑体" w:eastAsia="黑体" w:cs="黑体"/>
        </w:rPr>
        <mc:AlternateContent>
          <mc:Choice Requires="wps">
            <w:drawing>
              <wp:anchor distT="0" distB="0" distL="114300" distR="114300" simplePos="0" relativeHeight="251673600" behindDoc="0" locked="0" layoutInCell="1" allowOverlap="1">
                <wp:simplePos x="0" y="0"/>
                <wp:positionH relativeFrom="column">
                  <wp:posOffset>3429000</wp:posOffset>
                </wp:positionH>
                <wp:positionV relativeFrom="paragraph">
                  <wp:posOffset>243205</wp:posOffset>
                </wp:positionV>
                <wp:extent cx="2413635" cy="709295"/>
                <wp:effectExtent l="0" t="0" r="5715" b="0"/>
                <wp:wrapTopAndBottom/>
                <wp:docPr id="30" name="矩形 30"/>
                <wp:cNvGraphicFramePr/>
                <a:graphic xmlns:a="http://schemas.openxmlformats.org/drawingml/2006/main">
                  <a:graphicData uri="http://schemas.microsoft.com/office/word/2010/wordprocessingShape">
                    <wps:wsp>
                      <wps:cNvSpPr/>
                      <wps:spPr>
                        <a:xfrm>
                          <a:off x="0" y="0"/>
                          <a:ext cx="2413635" cy="709295"/>
                        </a:xfrm>
                        <a:prstGeom prst="rect">
                          <a:avLst/>
                        </a:prstGeom>
                        <a:solidFill>
                          <a:srgbClr val="FFFFFF"/>
                        </a:solidFill>
                        <a:ln>
                          <a:noFill/>
                        </a:ln>
                      </wps:spPr>
                      <wps:txbx>
                        <w:txbxContent>
                          <w:p w14:paraId="3083E39C">
                            <w:pPr>
                              <w:rPr>
                                <w:rFonts w:ascii="黑体" w:eastAsia="黑体"/>
                                <w:szCs w:val="21"/>
                              </w:rPr>
                            </w:pPr>
                            <w:r>
                              <w:rPr>
                                <w:rFonts w:hint="eastAsia" w:ascii="黑体" w:eastAsia="黑体"/>
                                <w:szCs w:val="21"/>
                              </w:rPr>
                              <w:t>车厢升降过程中，不应进入危险区。进入车厢下进行保养或维修前，应可靠锁紧锁定装置</w:t>
                            </w:r>
                          </w:p>
                        </w:txbxContent>
                      </wps:txbx>
                      <wps:bodyPr wrap="square" upright="1">
                        <a:noAutofit/>
                      </wps:bodyPr>
                    </wps:wsp>
                  </a:graphicData>
                </a:graphic>
              </wp:anchor>
            </w:drawing>
          </mc:Choice>
          <mc:Fallback>
            <w:pict>
              <v:rect id="_x0000_s1026" o:spid="_x0000_s1026" o:spt="1" style="position:absolute;left:0pt;margin-left:270pt;margin-top:19.15pt;height:55.85pt;width:190.05pt;mso-wrap-distance-bottom:0pt;mso-wrap-distance-top:0pt;z-index:251673600;mso-width-relative:page;mso-height-relative:page;" fillcolor="#FFFFFF" filled="t" stroked="f" coordsize="21600,21600" o:gfxdata="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pzTme1wAAAAoBAAAPAAAAAAAAAAEAIAAAACIAAABk&#10;cnMvZG93bnJldi54bWxQSwECFAAUAAAACACHTuJAVoxhFM4BAACUAwAADgAAAAAAAAABACAAAAAm&#10;AQAAZHJzL2Uyb0RvYy54bWxQSwUGAAAAAAYABgBZAQAAZgUAAAAA&#10;">
                <v:fill on="t" focussize="0,0"/>
                <v:stroke on="f"/>
                <v:imagedata o:title=""/>
                <o:lock v:ext="edit" aspectratio="f"/>
                <v:textbox>
                  <w:txbxContent>
                    <w:p w14:paraId="3083E39C">
                      <w:pPr>
                        <w:rPr>
                          <w:rFonts w:ascii="黑体" w:eastAsia="黑体"/>
                          <w:szCs w:val="21"/>
                        </w:rPr>
                      </w:pPr>
                      <w:r>
                        <w:rPr>
                          <w:rFonts w:hint="eastAsia" w:ascii="黑体" w:eastAsia="黑体"/>
                          <w:szCs w:val="21"/>
                        </w:rPr>
                        <w:t>车厢升降过程中，不应进入危险区。进入车厢下进行保养或维修前，应可靠锁紧锁定装置</w:t>
                      </w:r>
                    </w:p>
                  </w:txbxContent>
                </v:textbox>
                <w10:wrap type="topAndBottom"/>
              </v:rect>
            </w:pict>
          </mc:Fallback>
        </mc:AlternateContent>
      </w:r>
    </w:p>
    <w:p w14:paraId="11C76F7F">
      <w:pPr>
        <w:spacing w:line="360" w:lineRule="atLeast"/>
        <w:ind w:firstLine="315" w:firstLineChars="150"/>
        <w:rPr>
          <w:rFonts w:ascii="黑体" w:hAnsi="黑体" w:eastAsia="黑体" w:cs="黑体"/>
        </w:rPr>
      </w:pPr>
    </w:p>
    <w:p w14:paraId="61A0F7A6">
      <w:pPr>
        <w:spacing w:line="360" w:lineRule="atLeast"/>
        <w:ind w:firstLine="630" w:firstLineChars="300"/>
        <w:rPr>
          <w:rFonts w:ascii="黑体" w:hAnsi="黑体" w:eastAsia="黑体" w:cs="黑体"/>
        </w:rPr>
      </w:pPr>
      <w:r>
        <w:rPr>
          <w:rFonts w:hint="eastAsia" w:ascii="黑体" w:hAnsi="黑体" w:eastAsia="黑体" w:cs="黑体"/>
        </w:rPr>
        <w:t>图A.3  车厢升降过程中，不应进入危险           图A.4  车厢升降过程中，不应进入危险</w:t>
      </w:r>
    </w:p>
    <w:p w14:paraId="02D83951">
      <w:pPr>
        <w:spacing w:line="360" w:lineRule="atLeast"/>
        <w:ind w:firstLine="1260" w:firstLineChars="600"/>
        <w:rPr>
          <w:rFonts w:ascii="黑体" w:hAnsi="黑体" w:eastAsia="黑体" w:cs="黑体"/>
        </w:rPr>
      </w:pPr>
      <w:r>
        <w:rPr>
          <w:rFonts w:hint="eastAsia" w:ascii="黑体" w:hAnsi="黑体" w:eastAsia="黑体" w:cs="黑体"/>
        </w:rPr>
        <w:t>区。进入车厢下进行保养或维修                区。进入车厢下进行保养或维修</w:t>
      </w:r>
    </w:p>
    <w:p w14:paraId="5805FA15">
      <w:pPr>
        <w:spacing w:line="360" w:lineRule="atLeast"/>
        <w:ind w:firstLine="1260" w:firstLineChars="600"/>
        <w:rPr>
          <w:rFonts w:ascii="黑体" w:hAnsi="黑体" w:eastAsia="黑体" w:cs="黑体"/>
          <w:szCs w:val="21"/>
        </w:rPr>
      </w:pPr>
      <w:r>
        <w:rPr>
          <w:rFonts w:hint="eastAsia" w:ascii="黑体" w:hAnsi="黑体" w:eastAsia="黑体" w:cs="黑体"/>
        </w:rPr>
        <w:t>前，应插上安全锁定装置                       前，应</w:t>
      </w:r>
      <w:r>
        <w:rPr>
          <w:rFonts w:hint="eastAsia" w:ascii="黑体" w:hAnsi="黑体" w:eastAsia="黑体" w:cs="黑体"/>
          <w:szCs w:val="21"/>
        </w:rPr>
        <w:t>可靠</w:t>
      </w:r>
      <w:r>
        <w:rPr>
          <w:rFonts w:hint="eastAsia" w:ascii="黑体" w:hAnsi="黑体" w:eastAsia="黑体" w:cs="黑体"/>
        </w:rPr>
        <w:t>锁紧</w:t>
      </w:r>
      <w:r>
        <w:rPr>
          <w:rFonts w:hint="eastAsia" w:ascii="黑体" w:hAnsi="黑体" w:eastAsia="黑体" w:cs="黑体"/>
          <w:szCs w:val="21"/>
        </w:rPr>
        <w:t>锁定装置</w:t>
      </w:r>
    </w:p>
    <w:p w14:paraId="0A6640D7">
      <w:pPr>
        <w:ind w:firstLine="1575" w:firstLineChars="750"/>
        <w:rPr>
          <w:rFonts w:ascii="黑体" w:hAnsi="黑体" w:eastAsia="黑体" w:cs="黑体"/>
        </w:rPr>
      </w:pPr>
      <w:r>
        <w:rPr>
          <w:rFonts w:hint="eastAsia" w:ascii="黑体" w:hAnsi="黑体" w:eastAsia="黑体" w:cs="黑体"/>
        </w:rPr>
        <w:drawing>
          <wp:anchor distT="0" distB="0" distL="114300" distR="114300" simplePos="0" relativeHeight="251674624" behindDoc="0" locked="0" layoutInCell="1" allowOverlap="1">
            <wp:simplePos x="0" y="0"/>
            <wp:positionH relativeFrom="column">
              <wp:posOffset>3808730</wp:posOffset>
            </wp:positionH>
            <wp:positionV relativeFrom="paragraph">
              <wp:posOffset>60325</wp:posOffset>
            </wp:positionV>
            <wp:extent cx="1520190" cy="2872740"/>
            <wp:effectExtent l="0" t="0" r="3810" b="3810"/>
            <wp:wrapNone/>
            <wp:docPr id="31" name="图片 11" desc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1" descr="c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20190" cy="2872740"/>
                    </a:xfrm>
                    <a:prstGeom prst="rect">
                      <a:avLst/>
                    </a:prstGeom>
                    <a:noFill/>
                    <a:ln>
                      <a:noFill/>
                    </a:ln>
                  </pic:spPr>
                </pic:pic>
              </a:graphicData>
            </a:graphic>
          </wp:anchor>
        </w:drawing>
      </w:r>
      <w:r>
        <w:rPr>
          <w:rFonts w:hint="eastAsia" w:ascii="黑体" w:hAnsi="黑体" w:eastAsia="黑体" w:cs="黑体"/>
        </w:rPr>
        <mc:AlternateContent>
          <mc:Choice Requires="wpg">
            <w:drawing>
              <wp:inline distT="0" distB="0" distL="0" distR="0">
                <wp:extent cx="1520190" cy="2872740"/>
                <wp:effectExtent l="0" t="0" r="3810" b="3810"/>
                <wp:docPr id="44" name="组合 44"/>
                <wp:cNvGraphicFramePr/>
                <a:graphic xmlns:a="http://schemas.openxmlformats.org/drawingml/2006/main">
                  <a:graphicData uri="http://schemas.microsoft.com/office/word/2010/wordprocessingGroup">
                    <wpg:wgp>
                      <wpg:cNvGrpSpPr/>
                      <wpg:grpSpPr>
                        <a:xfrm>
                          <a:off x="0" y="0"/>
                          <a:ext cx="1520190" cy="2872740"/>
                          <a:chOff x="2791" y="8906"/>
                          <a:chExt cx="2394" cy="4524"/>
                        </a:xfrm>
                      </wpg:grpSpPr>
                      <wpg:grpSp>
                        <wpg:cNvPr id="37" name="组合 37"/>
                        <wpg:cNvGrpSpPr/>
                        <wpg:grpSpPr>
                          <a:xfrm>
                            <a:off x="2791" y="8906"/>
                            <a:ext cx="2394" cy="4524"/>
                            <a:chOff x="2708" y="2066"/>
                            <a:chExt cx="2394" cy="4524"/>
                          </a:xfrm>
                        </wpg:grpSpPr>
                        <pic:pic xmlns:pic="http://schemas.openxmlformats.org/drawingml/2006/picture">
                          <pic:nvPicPr>
                            <pic:cNvPr id="35" name="图片 14" descr="C2"/>
                            <pic:cNvPicPr>
                              <a:picLocks noChangeAspect="1"/>
                            </pic:cNvPicPr>
                          </pic:nvPicPr>
                          <pic:blipFill>
                            <a:blip r:embed="rId22"/>
                            <a:stretch>
                              <a:fillRect/>
                            </a:stretch>
                          </pic:blipFill>
                          <pic:spPr>
                            <a:xfrm>
                              <a:off x="2708" y="2066"/>
                              <a:ext cx="2394" cy="4524"/>
                            </a:xfrm>
                            <a:prstGeom prst="rect">
                              <a:avLst/>
                            </a:prstGeom>
                            <a:noFill/>
                            <a:ln>
                              <a:noFill/>
                            </a:ln>
                          </pic:spPr>
                        </pic:pic>
                        <wps:wsp>
                          <wps:cNvPr id="36" name="矩形 36"/>
                          <wps:cNvSpPr/>
                          <wps:spPr>
                            <a:xfrm>
                              <a:off x="2971" y="4382"/>
                              <a:ext cx="1980" cy="2028"/>
                            </a:xfrm>
                            <a:prstGeom prst="rect">
                              <a:avLst/>
                            </a:prstGeom>
                            <a:solidFill>
                              <a:srgbClr val="FFFFFF"/>
                            </a:solidFill>
                            <a:ln>
                              <a:noFill/>
                            </a:ln>
                          </wps:spPr>
                          <wps:txbx>
                            <w:txbxContent>
                              <w:p w14:paraId="5B3FC8B2">
                                <w:pPr>
                                  <w:rPr>
                                    <w:rFonts w:ascii="黑体" w:eastAsia="黑体"/>
                                    <w:sz w:val="28"/>
                                    <w:szCs w:val="28"/>
                                  </w:rPr>
                                </w:pPr>
                                <w:r>
                                  <w:rPr>
                                    <w:rFonts w:hint="eastAsia" w:ascii="黑体" w:eastAsia="黑体"/>
                                    <w:sz w:val="28"/>
                                    <w:szCs w:val="28"/>
                                  </w:rPr>
                                  <w:t>燃油箱中燃油易燃，远离火或明火</w:t>
                                </w:r>
                              </w:p>
                            </w:txbxContent>
                          </wps:txbx>
                          <wps:bodyPr upright="1"/>
                        </wps:wsp>
                      </wpg:grpSp>
                      <pic:pic xmlns:pic="http://schemas.openxmlformats.org/drawingml/2006/picture">
                        <pic:nvPicPr>
                          <pic:cNvPr id="38" name="图片 16" descr="A14"/>
                          <pic:cNvPicPr>
                            <a:picLocks noChangeAspect="1"/>
                          </pic:cNvPicPr>
                        </pic:nvPicPr>
                        <pic:blipFill>
                          <a:blip r:embed="rId25"/>
                          <a:stretch>
                            <a:fillRect/>
                          </a:stretch>
                        </pic:blipFill>
                        <pic:spPr>
                          <a:xfrm>
                            <a:off x="3511" y="9998"/>
                            <a:ext cx="900" cy="780"/>
                          </a:xfrm>
                          <a:prstGeom prst="rect">
                            <a:avLst/>
                          </a:prstGeom>
                          <a:noFill/>
                          <a:ln>
                            <a:noFill/>
                          </a:ln>
                        </pic:spPr>
                      </pic:pic>
                      <wps:wsp>
                        <wps:cNvPr id="39" name="任意多边形 39"/>
                        <wps:cNvSpPr/>
                        <wps:spPr>
                          <a:xfrm>
                            <a:off x="3691" y="9996"/>
                            <a:ext cx="617" cy="2"/>
                          </a:xfrm>
                          <a:custGeom>
                            <a:avLst/>
                            <a:gdLst/>
                            <a:ahLst/>
                            <a:cxnLst/>
                            <a:rect l="0" t="0" r="0" b="0"/>
                            <a:pathLst>
                              <a:path w="617" h="2">
                                <a:moveTo>
                                  <a:pt x="0" y="2"/>
                                </a:moveTo>
                                <a:lnTo>
                                  <a:pt x="617" y="0"/>
                                </a:lnTo>
                              </a:path>
                            </a:pathLst>
                          </a:custGeom>
                          <a:noFill/>
                          <a:ln w="28575" cap="flat" cmpd="sng">
                            <a:solidFill>
                              <a:srgbClr val="FFFFFF"/>
                            </a:solidFill>
                            <a:prstDash val="solid"/>
                            <a:headEnd type="none" w="med" len="med"/>
                            <a:tailEnd type="none" w="med" len="med"/>
                          </a:ln>
                        </wps:spPr>
                        <wps:bodyPr upright="1"/>
                      </wps:wsp>
                      <wps:wsp>
                        <wps:cNvPr id="40" name="任意多边形 40"/>
                        <wps:cNvSpPr/>
                        <wps:spPr>
                          <a:xfrm>
                            <a:off x="3480" y="9948"/>
                            <a:ext cx="168" cy="312"/>
                          </a:xfrm>
                          <a:custGeom>
                            <a:avLst/>
                            <a:gdLst/>
                            <a:ahLst/>
                            <a:cxnLst/>
                            <a:rect l="0" t="0" r="0" b="0"/>
                            <a:pathLst>
                              <a:path w="168" h="312">
                                <a:moveTo>
                                  <a:pt x="168" y="0"/>
                                </a:moveTo>
                                <a:lnTo>
                                  <a:pt x="0" y="312"/>
                                </a:lnTo>
                              </a:path>
                            </a:pathLst>
                          </a:custGeom>
                          <a:noFill/>
                          <a:ln w="57150" cap="flat" cmpd="sng">
                            <a:solidFill>
                              <a:srgbClr val="000000"/>
                            </a:solidFill>
                            <a:prstDash val="solid"/>
                            <a:headEnd type="none" w="med" len="med"/>
                            <a:tailEnd type="none" w="med" len="med"/>
                          </a:ln>
                        </wps:spPr>
                        <wps:bodyPr upright="1"/>
                      </wps:wsp>
                      <wps:wsp>
                        <wps:cNvPr id="41" name="任意多边形 41"/>
                        <wps:cNvSpPr/>
                        <wps:spPr>
                          <a:xfrm>
                            <a:off x="4308" y="9924"/>
                            <a:ext cx="228" cy="384"/>
                          </a:xfrm>
                          <a:custGeom>
                            <a:avLst/>
                            <a:gdLst/>
                            <a:ahLst/>
                            <a:cxnLst/>
                            <a:rect l="0" t="0" r="0" b="0"/>
                            <a:pathLst>
                              <a:path w="228" h="384">
                                <a:moveTo>
                                  <a:pt x="228" y="384"/>
                                </a:moveTo>
                                <a:lnTo>
                                  <a:pt x="0" y="0"/>
                                </a:lnTo>
                              </a:path>
                            </a:pathLst>
                          </a:custGeom>
                          <a:noFill/>
                          <a:ln w="57150" cap="flat" cmpd="sng">
                            <a:solidFill>
                              <a:srgbClr val="000000"/>
                            </a:solidFill>
                            <a:prstDash val="solid"/>
                            <a:headEnd type="none" w="med" len="med"/>
                            <a:tailEnd type="none" w="med" len="med"/>
                          </a:ln>
                        </wps:spPr>
                        <wps:bodyPr upright="1"/>
                      </wps:wsp>
                      <wps:wsp>
                        <wps:cNvPr id="42" name="任意多边形 42"/>
                        <wps:cNvSpPr/>
                        <wps:spPr>
                          <a:xfrm>
                            <a:off x="3512" y="10308"/>
                            <a:ext cx="28" cy="470"/>
                          </a:xfrm>
                          <a:custGeom>
                            <a:avLst/>
                            <a:gdLst/>
                            <a:ahLst/>
                            <a:cxnLst/>
                            <a:rect l="0" t="0" r="0" b="0"/>
                            <a:pathLst>
                              <a:path w="28" h="470">
                                <a:moveTo>
                                  <a:pt x="28" y="0"/>
                                </a:moveTo>
                                <a:lnTo>
                                  <a:pt x="0" y="470"/>
                                </a:lnTo>
                              </a:path>
                            </a:pathLst>
                          </a:custGeom>
                          <a:noFill/>
                          <a:ln w="57150" cap="flat" cmpd="sng">
                            <a:solidFill>
                              <a:srgbClr val="FFFFFF"/>
                            </a:solidFill>
                            <a:prstDash val="solid"/>
                            <a:headEnd type="none" w="med" len="med"/>
                            <a:tailEnd type="none" w="med" len="med"/>
                          </a:ln>
                        </wps:spPr>
                        <wps:bodyPr upright="1"/>
                      </wps:wsp>
                      <wps:wsp>
                        <wps:cNvPr id="43" name="任意多边形 43"/>
                        <wps:cNvSpPr/>
                        <wps:spPr>
                          <a:xfrm>
                            <a:off x="4392" y="10200"/>
                            <a:ext cx="20" cy="578"/>
                          </a:xfrm>
                          <a:custGeom>
                            <a:avLst/>
                            <a:gdLst/>
                            <a:ahLst/>
                            <a:cxnLst/>
                            <a:rect l="0" t="0" r="0" b="0"/>
                            <a:pathLst>
                              <a:path w="20" h="578">
                                <a:moveTo>
                                  <a:pt x="0" y="0"/>
                                </a:moveTo>
                                <a:lnTo>
                                  <a:pt x="20" y="578"/>
                                </a:lnTo>
                              </a:path>
                            </a:pathLst>
                          </a:custGeom>
                          <a:noFill/>
                          <a:ln w="57150" cap="flat" cmpd="sng">
                            <a:solidFill>
                              <a:srgbClr val="FFFFFF"/>
                            </a:solidFill>
                            <a:prstDash val="solid"/>
                            <a:headEnd type="none" w="med" len="med"/>
                            <a:tailEnd type="none" w="med" len="med"/>
                          </a:ln>
                        </wps:spPr>
                        <wps:bodyPr upright="1"/>
                      </wps:wsp>
                    </wpg:wgp>
                  </a:graphicData>
                </a:graphic>
              </wp:inline>
            </w:drawing>
          </mc:Choice>
          <mc:Fallback>
            <w:pict>
              <v:group id="_x0000_s1026" o:spid="_x0000_s1026" o:spt="203" style="height:226.2pt;width:119.7pt;" coordorigin="2791,8906" coordsize="2394,4524" o:gfxdata="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">
                <o:lock v:ext="edit" aspectratio="f"/>
                <v:group id="_x0000_s1026" o:spid="_x0000_s1026" o:spt="203" style="position:absolute;left:2791;top:8906;height:4524;width:2394;" coordorigin="2708,2066" coordsize="2394,4524" o:gfxdata="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lJVAb0AAADbAAAADwAAAAAAAAABACAAAAAiAAAAZHJzL2Rvd25yZXYueG1s&#10;UEsBAhQAFAAAAAgAh07iQDMvBZ47AAAAOQAAABUAAAAAAAAAAQAgAAAADAEAAGRycy9ncm91cHNo&#10;YXBleG1sLnhtbFBLBQYAAAAABgAGAGABAADJAwAAAAA=&#10;">
                  <o:lock v:ext="edit" aspectratio="f"/>
                  <v:shape id="图片 14" o:spid="_x0000_s1026" o:spt="75" alt="C2" type="#_x0000_t75" style="position:absolute;left:2708;top:2066;height:4524;width:2394;" filled="f" o:preferrelative="t" stroked="f" coordsize="21600,21600" o:gfxdata="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pvuuvQAA&#10;ANsAAAAPAAAAAAAAAAEAIAAAACIAAABkcnMvZG93bnJldi54bWxQSwECFAAUAAAACACHTuJAMy8F&#10;njsAAAA5AAAAEAAAAAAAAAABACAAAAAMAQAAZHJzL3NoYXBleG1sLnhtbFBLBQYAAAAABgAGAFsB&#10;AAC2AwAAAAA=&#10;">
                    <v:fill on="f" focussize="0,0"/>
                    <v:stroke on="f"/>
                    <v:imagedata r:id="rId22" o:title=""/>
                    <o:lock v:ext="edit" aspectratio="t"/>
                  </v:shape>
                  <v:rect id="_x0000_s1026" o:spid="_x0000_s1026" o:spt="1" style="position:absolute;left:2971;top:4382;height:2028;width:1980;" fillcolor="#FFFFFF" filled="t" stroked="f" coordsize="21600,21600" o:gfxdata="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cuppr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5B3FC8B2">
                          <w:pPr>
                            <w:rPr>
                              <w:rFonts w:ascii="黑体" w:eastAsia="黑体"/>
                              <w:sz w:val="28"/>
                              <w:szCs w:val="28"/>
                            </w:rPr>
                          </w:pPr>
                          <w:r>
                            <w:rPr>
                              <w:rFonts w:hint="eastAsia" w:ascii="黑体" w:eastAsia="黑体"/>
                              <w:sz w:val="28"/>
                              <w:szCs w:val="28"/>
                            </w:rPr>
                            <w:t>燃油箱中燃油易燃，远离火或明火</w:t>
                          </w:r>
                        </w:p>
                      </w:txbxContent>
                    </v:textbox>
                  </v:rect>
                </v:group>
                <v:shape id="图片 16" o:spid="_x0000_s1026" o:spt="75" alt="A14" type="#_x0000_t75" style="position:absolute;left:3511;top:9998;height:780;width:900;" filled="f" o:preferrelative="t" stroked="f" coordsize="21600,21600" o:gfxdata="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b6pG5AAAA2wAA&#10;AA8AAAAAAAAAAQAgAAAAIgAAAGRycy9kb3ducmV2LnhtbFBLAQIUABQAAAAIAIdO4kAzLwWeOwAA&#10;ADkAAAAQAAAAAAAAAAEAIAAAAAgBAABkcnMvc2hhcGV4bWwueG1sUEsFBgAAAAAGAAYAWwEAALID&#10;AAAAAA==&#10;">
                  <v:fill on="f" focussize="0,0"/>
                  <v:stroke on="f"/>
                  <v:imagedata r:id="rId25" o:title=""/>
                  <o:lock v:ext="edit" aspectratio="t"/>
                </v:shape>
                <v:shape id="_x0000_s1026" o:spid="_x0000_s1026" o:spt="100" style="position:absolute;left:3691;top:9996;height:2;width:617;" filled="f" stroked="t" coordsize="617,2" o:gfxdata="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B7xqr4A&#10;AADbAAAADwAAAAAAAAABACAAAAAiAAAAZHJzL2Rvd25yZXYueG1sUEsBAhQAFAAAAAgAh07iQDMv&#10;BZ47AAAAOQAAABAAAAAAAAAAAQAgAAAADQEAAGRycy9zaGFwZXhtbC54bWxQSwUGAAAAAAYABgBb&#10;AQAAtwMAAAAA&#10;" path="m0,2l617,0e">
                  <v:fill on="f" focussize="0,0"/>
                  <v:stroke weight="2.25pt" color="#FFFFFF" joinstyle="round"/>
                  <v:imagedata o:title=""/>
                  <o:lock v:ext="edit" aspectratio="f"/>
                </v:shape>
                <v:shape id="_x0000_s1026" o:spid="_x0000_s1026" o:spt="100" style="position:absolute;left:3480;top:9948;height:312;width:168;" filled="f" stroked="t" coordsize="168,312" o:gfxdata="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TjfOrsAAADb&#10;AAAADwAAAAAAAAABACAAAAAiAAAAZHJzL2Rvd25yZXYueG1sUEsBAhQAFAAAAAgAh07iQDMvBZ47&#10;AAAAOQAAABAAAAAAAAAAAQAgAAAACgEAAGRycy9zaGFwZXhtbC54bWxQSwUGAAAAAAYABgBbAQAA&#10;tAMAAAAA&#10;" path="m168,0l0,312e">
                  <v:fill on="f" focussize="0,0"/>
                  <v:stroke weight="4.5pt" color="#000000" joinstyle="round"/>
                  <v:imagedata o:title=""/>
                  <o:lock v:ext="edit" aspectratio="f"/>
                </v:shape>
                <v:shape id="_x0000_s1026" o:spid="_x0000_s1026" o:spt="100" style="position:absolute;left:4308;top:9924;height:384;width:228;" filled="f" stroked="t" coordsize="228,384" o:gfxdata="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uhSvQAA&#10;ANsAAAAPAAAAAAAAAAEAIAAAACIAAABkcnMvZG93bnJldi54bWxQSwECFAAUAAAACACHTuJAMy8F&#10;njsAAAA5AAAAEAAAAAAAAAABACAAAAAMAQAAZHJzL3NoYXBleG1sLnhtbFBLBQYAAAAABgAGAFsB&#10;AAC2AwAAAAA=&#10;" path="m228,384l0,0e">
                  <v:fill on="f" focussize="0,0"/>
                  <v:stroke weight="4.5pt" color="#000000" joinstyle="round"/>
                  <v:imagedata o:title=""/>
                  <o:lock v:ext="edit" aspectratio="f"/>
                </v:shape>
                <v:shape id="_x0000_s1026" o:spid="_x0000_s1026" o:spt="100" style="position:absolute;left:3512;top:10308;height:470;width:28;" filled="f" stroked="t" coordsize="28,470" o:gfxdata="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W7AbvQAA&#10;ANsAAAAPAAAAAAAAAAEAIAAAACIAAABkcnMvZG93bnJldi54bWxQSwECFAAUAAAACACHTuJAMy8F&#10;njsAAAA5AAAAEAAAAAAAAAABACAAAAAMAQAAZHJzL3NoYXBleG1sLnhtbFBLBQYAAAAABgAGAFsB&#10;AAC2AwAAAAA=&#10;" path="m28,0l0,470e">
                  <v:fill on="f" focussize="0,0"/>
                  <v:stroke weight="4.5pt" color="#FFFFFF" joinstyle="round"/>
                  <v:imagedata o:title=""/>
                  <o:lock v:ext="edit" aspectratio="f"/>
                </v:shape>
                <v:shape id="_x0000_s1026" o:spid="_x0000_s1026" o:spt="100" style="position:absolute;left:4392;top:10200;height:578;width:20;" filled="f" stroked="t" coordsize="20,578" o:gfxdata="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lmeyK8AAAA&#10;2wAAAA8AAAAAAAAAAQAgAAAAIgAAAGRycy9kb3ducmV2LnhtbFBLAQIUABQAAAAIAIdO4kAzLwWe&#10;OwAAADkAAAAQAAAAAAAAAAEAIAAAAAsBAABkcnMvc2hhcGV4bWwueG1sUEsFBgAAAAAGAAYAWwEA&#10;ALUDAAAAAA==&#10;" path="m0,0l20,578e">
                  <v:fill on="f" focussize="0,0"/>
                  <v:stroke weight="4.5pt" color="#FFFFFF" joinstyle="round"/>
                  <v:imagedata o:title=""/>
                  <o:lock v:ext="edit" aspectratio="f"/>
                </v:shape>
                <w10:wrap type="none"/>
                <w10:anchorlock/>
              </v:group>
            </w:pict>
          </mc:Fallback>
        </mc:AlternateContent>
      </w:r>
    </w:p>
    <w:p w14:paraId="346CFEB5">
      <w:pPr>
        <w:ind w:left="1260" w:leftChars="600"/>
        <w:jc w:val="left"/>
        <w:rPr>
          <w:rFonts w:ascii="黑体" w:hAnsi="黑体" w:eastAsia="黑体" w:cs="黑体"/>
          <w:szCs w:val="21"/>
        </w:rPr>
      </w:pPr>
      <w:r>
        <w:rPr>
          <w:rFonts w:hint="eastAsia" w:ascii="黑体" w:hAnsi="黑体" w:eastAsia="黑体" w:cs="黑体"/>
        </w:rPr>
        <w:t xml:space="preserve">图A.5  </w:t>
      </w:r>
      <w:r>
        <w:rPr>
          <w:rFonts w:hint="eastAsia" w:ascii="黑体" w:hAnsi="黑体" w:eastAsia="黑体" w:cs="黑体"/>
          <w:szCs w:val="20"/>
        </w:rPr>
        <w:t>高温蒸汽（或</w:t>
      </w:r>
      <w:r>
        <w:rPr>
          <w:rFonts w:hint="eastAsia" w:ascii="黑体" w:hAnsi="黑体" w:eastAsia="黑体" w:cs="黑体"/>
        </w:rPr>
        <w:t>高温表面）</w:t>
      </w:r>
      <w:r>
        <w:rPr>
          <w:rFonts w:hint="eastAsia" w:ascii="黑体" w:hAnsi="黑体" w:eastAsia="黑体" w:cs="黑体"/>
          <w:szCs w:val="21"/>
        </w:rPr>
        <w:t xml:space="preserve">                 </w:t>
      </w:r>
      <w:r>
        <w:rPr>
          <w:rFonts w:hint="eastAsia" w:ascii="黑体" w:hAnsi="黑体" w:eastAsia="黑体" w:cs="黑体"/>
        </w:rPr>
        <w:t>图A.6 燃</w:t>
      </w:r>
      <w:r>
        <w:rPr>
          <w:rFonts w:hint="eastAsia" w:ascii="黑体" w:hAnsi="黑体" w:eastAsia="黑体" w:cs="黑体"/>
          <w:szCs w:val="21"/>
        </w:rPr>
        <w:t>油箱中燃油易燃，远离火或</w:t>
      </w:r>
    </w:p>
    <w:p w14:paraId="514F6996">
      <w:pPr>
        <w:ind w:firstLine="840" w:firstLineChars="400"/>
        <w:jc w:val="left"/>
        <w:rPr>
          <w:rFonts w:ascii="黑体" w:hAnsi="黑体" w:eastAsia="黑体" w:cs="黑体"/>
        </w:rPr>
      </w:pPr>
      <w:r>
        <w:rPr>
          <w:rFonts w:hint="eastAsia" w:ascii="黑体" w:hAnsi="黑体" w:eastAsia="黑体" w:cs="黑体"/>
        </w:rPr>
        <w:t>会导致</w:t>
      </w:r>
      <w:r>
        <w:rPr>
          <w:rFonts w:hint="eastAsia" w:ascii="黑体" w:hAnsi="黑体" w:eastAsia="黑体" w:cs="黑体"/>
          <w:szCs w:val="20"/>
        </w:rPr>
        <w:t>烫伤</w:t>
      </w:r>
      <w:r>
        <w:rPr>
          <w:rFonts w:hint="eastAsia" w:ascii="黑体" w:hAnsi="黑体" w:eastAsia="黑体" w:cs="黑体"/>
        </w:rPr>
        <w:t>，</w:t>
      </w:r>
      <w:r>
        <w:rPr>
          <w:rFonts w:hint="eastAsia" w:ascii="黑体" w:hAnsi="黑体" w:eastAsia="黑体" w:cs="黑体"/>
          <w:szCs w:val="20"/>
        </w:rPr>
        <w:t>远离高温蒸汽（或</w:t>
      </w:r>
      <w:r>
        <w:rPr>
          <w:rFonts w:hint="eastAsia" w:ascii="黑体" w:hAnsi="黑体" w:eastAsia="黑体" w:cs="黑体"/>
        </w:rPr>
        <w:t xml:space="preserve">高温表面）         </w:t>
      </w:r>
      <w:r>
        <w:rPr>
          <w:rFonts w:hint="eastAsia" w:ascii="黑体" w:hAnsi="黑体" w:eastAsia="黑体" w:cs="黑体"/>
          <w:szCs w:val="21"/>
        </w:rPr>
        <w:t>明火</w:t>
      </w:r>
      <w:r>
        <w:rPr>
          <w:rFonts w:hint="eastAsia" w:ascii="黑体" w:hAnsi="黑体" w:eastAsia="黑体" w:cs="黑体"/>
        </w:rPr>
        <w:t xml:space="preserve"> 会导致</w:t>
      </w:r>
      <w:r>
        <w:rPr>
          <w:rFonts w:hint="eastAsia" w:ascii="黑体" w:hAnsi="黑体" w:eastAsia="黑体" w:cs="黑体"/>
          <w:szCs w:val="20"/>
        </w:rPr>
        <w:t>烫伤</w:t>
      </w:r>
      <w:r>
        <w:rPr>
          <w:rFonts w:hint="eastAsia" w:ascii="黑体" w:hAnsi="黑体" w:eastAsia="黑体" w:cs="黑体"/>
        </w:rPr>
        <w:t>，</w:t>
      </w:r>
      <w:r>
        <w:rPr>
          <w:rFonts w:hint="eastAsia" w:ascii="黑体" w:hAnsi="黑体" w:eastAsia="黑体" w:cs="黑体"/>
          <w:szCs w:val="20"/>
        </w:rPr>
        <w:t>远离高温蒸汽（或</w:t>
      </w:r>
      <w:r>
        <w:rPr>
          <w:rFonts w:hint="eastAsia" w:ascii="黑体" w:hAnsi="黑体" w:eastAsia="黑体" w:cs="黑体"/>
        </w:rPr>
        <w:t>高</w:t>
      </w:r>
    </w:p>
    <w:p w14:paraId="30B2126A">
      <w:pPr>
        <w:ind w:firstLine="7350" w:firstLineChars="3500"/>
        <w:jc w:val="left"/>
        <w:rPr>
          <w:rFonts w:ascii="黑体" w:hAnsi="黑体" w:eastAsia="黑体" w:cs="黑体"/>
          <w:szCs w:val="21"/>
        </w:rPr>
      </w:pPr>
      <w:r>
        <w:rPr>
          <w:rFonts w:hint="eastAsia" w:ascii="黑体" w:hAnsi="黑体" w:eastAsia="黑体" w:cs="黑体"/>
        </w:rPr>
        <w:t>温表面）</w:t>
      </w:r>
    </w:p>
    <w:p w14:paraId="5E43BAE3">
      <w:pPr>
        <w:spacing w:line="360" w:lineRule="atLeast"/>
        <w:ind w:firstLine="315" w:firstLineChars="150"/>
        <w:rPr>
          <w:rFonts w:ascii="黑体" w:hAnsi="黑体" w:eastAsia="黑体" w:cs="黑体"/>
        </w:rPr>
      </w:pPr>
      <w:r>
        <w:rPr>
          <w:rFonts w:hint="eastAsia" w:ascii="黑体" w:hAnsi="黑体" w:eastAsia="黑体" w:cs="黑体"/>
        </w:rPr>
        <w:drawing>
          <wp:anchor distT="0" distB="0" distL="114300" distR="114300" simplePos="0" relativeHeight="251672576" behindDoc="0" locked="0" layoutInCell="1" allowOverlap="1">
            <wp:simplePos x="0" y="0"/>
            <wp:positionH relativeFrom="column">
              <wp:posOffset>3469640</wp:posOffset>
            </wp:positionH>
            <wp:positionV relativeFrom="paragraph">
              <wp:posOffset>80645</wp:posOffset>
            </wp:positionV>
            <wp:extent cx="1520190" cy="2872740"/>
            <wp:effectExtent l="0" t="0" r="3810" b="10160"/>
            <wp:wrapNone/>
            <wp:docPr id="12" name="图片 22" desc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2" descr="C2"/>
                    <pic:cNvPicPr>
                      <a:picLocks noChangeAspect="1"/>
                    </pic:cNvPicPr>
                  </pic:nvPicPr>
                  <pic:blipFill>
                    <a:blip r:embed="rId26"/>
                    <a:stretch>
                      <a:fillRect/>
                    </a:stretch>
                  </pic:blipFill>
                  <pic:spPr>
                    <a:xfrm>
                      <a:off x="0" y="0"/>
                      <a:ext cx="1520190" cy="2872740"/>
                    </a:xfrm>
                    <a:prstGeom prst="rect">
                      <a:avLst/>
                    </a:prstGeom>
                    <a:noFill/>
                    <a:ln>
                      <a:noFill/>
                    </a:ln>
                  </pic:spPr>
                </pic:pic>
              </a:graphicData>
            </a:graphic>
          </wp:anchor>
        </w:drawing>
      </w:r>
      <w:r>
        <w:rPr>
          <w:rFonts w:hint="eastAsia" w:ascii="黑体" w:hAnsi="黑体" w:eastAsia="黑体" w:cs="黑体"/>
        </w:rPr>
        <w:drawing>
          <wp:anchor distT="0" distB="0" distL="114300" distR="114300" simplePos="0" relativeHeight="251671552" behindDoc="0" locked="0" layoutInCell="1" allowOverlap="1">
            <wp:simplePos x="0" y="0"/>
            <wp:positionH relativeFrom="column">
              <wp:posOffset>726440</wp:posOffset>
            </wp:positionH>
            <wp:positionV relativeFrom="paragraph">
              <wp:posOffset>80645</wp:posOffset>
            </wp:positionV>
            <wp:extent cx="1520190" cy="2872740"/>
            <wp:effectExtent l="0" t="0" r="3810" b="10160"/>
            <wp:wrapNone/>
            <wp:docPr id="21" name="图片 23" desc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3" descr="C2"/>
                    <pic:cNvPicPr>
                      <a:picLocks noChangeAspect="1"/>
                    </pic:cNvPicPr>
                  </pic:nvPicPr>
                  <pic:blipFill>
                    <a:blip r:embed="rId27"/>
                    <a:stretch>
                      <a:fillRect/>
                    </a:stretch>
                  </pic:blipFill>
                  <pic:spPr>
                    <a:xfrm>
                      <a:off x="0" y="0"/>
                      <a:ext cx="1520190" cy="2872740"/>
                    </a:xfrm>
                    <a:prstGeom prst="rect">
                      <a:avLst/>
                    </a:prstGeom>
                    <a:noFill/>
                    <a:ln>
                      <a:noFill/>
                    </a:ln>
                  </pic:spPr>
                </pic:pic>
              </a:graphicData>
            </a:graphic>
          </wp:anchor>
        </w:drawing>
      </w:r>
    </w:p>
    <w:p w14:paraId="17204B01">
      <w:pPr>
        <w:spacing w:line="360" w:lineRule="atLeast"/>
        <w:ind w:right="12" w:rightChars="6"/>
        <w:rPr>
          <w:rFonts w:ascii="黑体" w:hAnsi="黑体" w:eastAsia="黑体" w:cs="黑体"/>
        </w:rPr>
      </w:pPr>
    </w:p>
    <w:p w14:paraId="7B712FD3">
      <w:pPr>
        <w:spacing w:line="360" w:lineRule="atLeast"/>
        <w:ind w:firstLine="315" w:firstLineChars="150"/>
        <w:rPr>
          <w:rFonts w:ascii="黑体" w:hAnsi="黑体" w:eastAsia="黑体" w:cs="黑体"/>
        </w:rPr>
      </w:pPr>
    </w:p>
    <w:p w14:paraId="77DFF0F6">
      <w:pPr>
        <w:spacing w:line="360" w:lineRule="atLeast"/>
        <w:ind w:firstLine="315" w:firstLineChars="150"/>
        <w:rPr>
          <w:rFonts w:ascii="黑体" w:hAnsi="黑体" w:eastAsia="黑体" w:cs="黑体"/>
        </w:rPr>
      </w:pPr>
    </w:p>
    <w:p w14:paraId="0E07BACA">
      <w:pPr>
        <w:spacing w:line="360" w:lineRule="atLeast"/>
        <w:ind w:firstLine="315" w:firstLineChars="150"/>
        <w:rPr>
          <w:rFonts w:ascii="黑体" w:hAnsi="黑体" w:eastAsia="黑体" w:cs="黑体"/>
        </w:rPr>
      </w:pPr>
    </w:p>
    <w:p w14:paraId="4989CD1D">
      <w:pPr>
        <w:pStyle w:val="6"/>
        <w:spacing w:line="360" w:lineRule="exact"/>
        <w:rPr>
          <w:rFonts w:ascii="黑体" w:hAnsi="黑体" w:eastAsia="黑体" w:cs="黑体"/>
        </w:rPr>
      </w:pPr>
    </w:p>
    <w:p w14:paraId="0BC16C60">
      <w:pPr>
        <w:pStyle w:val="6"/>
        <w:spacing w:line="360" w:lineRule="exact"/>
        <w:rPr>
          <w:rFonts w:ascii="黑体" w:hAnsi="黑体" w:eastAsia="黑体" w:cs="黑体"/>
        </w:rPr>
      </w:pPr>
    </w:p>
    <w:p w14:paraId="0F55036D">
      <w:pPr>
        <w:pStyle w:val="6"/>
        <w:spacing w:line="360" w:lineRule="exact"/>
        <w:rPr>
          <w:rFonts w:ascii="黑体" w:hAnsi="黑体" w:eastAsia="黑体" w:cs="黑体"/>
        </w:rPr>
      </w:pPr>
    </w:p>
    <w:p w14:paraId="42924D0B">
      <w:pPr>
        <w:pStyle w:val="6"/>
        <w:spacing w:line="360" w:lineRule="exact"/>
        <w:rPr>
          <w:rFonts w:ascii="黑体" w:hAnsi="黑体" w:eastAsia="黑体" w:cs="黑体"/>
        </w:rPr>
      </w:pPr>
    </w:p>
    <w:p w14:paraId="3B781B35">
      <w:pPr>
        <w:pStyle w:val="6"/>
        <w:spacing w:line="360" w:lineRule="exact"/>
        <w:rPr>
          <w:rFonts w:ascii="黑体" w:hAnsi="黑体" w:eastAsia="黑体" w:cs="黑体"/>
        </w:rPr>
      </w:pPr>
    </w:p>
    <w:p w14:paraId="0CE5A503">
      <w:pPr>
        <w:pStyle w:val="6"/>
        <w:spacing w:line="360" w:lineRule="exact"/>
        <w:rPr>
          <w:rFonts w:ascii="黑体" w:hAnsi="黑体" w:eastAsia="黑体" w:cs="黑体"/>
        </w:rPr>
      </w:pPr>
    </w:p>
    <w:p w14:paraId="468C52C0">
      <w:pPr>
        <w:pStyle w:val="6"/>
        <w:spacing w:line="360" w:lineRule="exact"/>
        <w:rPr>
          <w:rFonts w:ascii="黑体" w:hAnsi="黑体" w:eastAsia="黑体" w:cs="黑体"/>
        </w:rPr>
      </w:pPr>
    </w:p>
    <w:p w14:paraId="6B7A3884">
      <w:pPr>
        <w:pStyle w:val="6"/>
        <w:spacing w:line="360" w:lineRule="exact"/>
        <w:rPr>
          <w:rFonts w:ascii="黑体" w:hAnsi="黑体" w:eastAsia="黑体" w:cs="黑体"/>
        </w:rPr>
      </w:pPr>
    </w:p>
    <w:p w14:paraId="0FDCDADF">
      <w:pPr>
        <w:pStyle w:val="6"/>
        <w:spacing w:line="360" w:lineRule="exact"/>
        <w:rPr>
          <w:rFonts w:ascii="黑体" w:hAnsi="黑体" w:eastAsia="黑体" w:cs="黑体"/>
        </w:rPr>
      </w:pPr>
    </w:p>
    <w:p w14:paraId="06C65653">
      <w:pPr>
        <w:pStyle w:val="6"/>
        <w:spacing w:line="360" w:lineRule="exact"/>
        <w:ind w:firstLine="840" w:firstLineChars="400"/>
        <w:rPr>
          <w:rFonts w:ascii="黑体" w:hAnsi="黑体" w:eastAsia="黑体" w:cs="黑体"/>
          <w:b/>
        </w:rPr>
      </w:pPr>
      <w:r>
        <w:rPr>
          <w:rFonts w:hint="eastAsia" w:ascii="黑体" w:hAnsi="黑体" w:eastAsia="黑体" w:cs="黑体"/>
        </w:rPr>
        <w:t xml:space="preserve">图A.7   </w:t>
      </w:r>
      <w:r>
        <w:rPr>
          <w:rFonts w:hint="eastAsia" w:ascii="黑体" w:hAnsi="黑体" w:eastAsia="黑体" w:cs="黑体"/>
          <w:b/>
        </w:rPr>
        <w:t xml:space="preserve">发动机运转时，不应打                </w:t>
      </w:r>
      <w:r>
        <w:rPr>
          <w:rFonts w:hint="eastAsia" w:ascii="黑体" w:hAnsi="黑体" w:eastAsia="黑体" w:cs="黑体"/>
        </w:rPr>
        <w:t xml:space="preserve">图A.8  </w:t>
      </w:r>
      <w:r>
        <w:rPr>
          <w:rFonts w:hint="eastAsia" w:ascii="黑体" w:hAnsi="黑体" w:eastAsia="黑体" w:cs="黑体"/>
          <w:b/>
        </w:rPr>
        <w:t>发动机运转时，不应打</w:t>
      </w:r>
    </w:p>
    <w:p w14:paraId="55C52A61">
      <w:pPr>
        <w:pStyle w:val="6"/>
        <w:spacing w:line="360" w:lineRule="exact"/>
        <w:ind w:firstLine="1432" w:firstLineChars="682"/>
        <w:rPr>
          <w:rFonts w:ascii="黑体" w:hAnsi="黑体" w:eastAsia="黑体" w:cs="黑体"/>
        </w:rPr>
      </w:pPr>
      <w:r>
        <w:rPr>
          <w:rFonts w:hint="eastAsia" w:ascii="黑体" w:hAnsi="黑体" w:eastAsia="黑体" w:cs="黑体"/>
          <w:b/>
        </w:rPr>
        <w:t>开或拆下安全防护罩                        开或拆下安全防护罩</w:t>
      </w:r>
    </w:p>
    <w:p w14:paraId="5DD6E7ED">
      <w:pPr>
        <w:pStyle w:val="6"/>
        <w:spacing w:line="360" w:lineRule="exact"/>
        <w:ind w:firstLine="613" w:firstLineChars="292"/>
        <w:rPr>
          <w:rFonts w:ascii="黑体" w:hAnsi="黑体" w:eastAsia="黑体" w:cs="黑体"/>
        </w:rPr>
      </w:pPr>
    </w:p>
    <w:p w14:paraId="116A83B2">
      <w:pPr>
        <w:pStyle w:val="6"/>
        <w:spacing w:line="360" w:lineRule="exact"/>
        <w:rPr>
          <w:rFonts w:ascii="黑体" w:hAnsi="黑体" w:eastAsia="黑体" w:cs="黑体"/>
        </w:rPr>
      </w:pPr>
    </w:p>
    <w:p w14:paraId="277BCC59">
      <w:pPr>
        <w:pStyle w:val="6"/>
        <w:ind w:firstLine="1260" w:firstLineChars="600"/>
        <w:rPr>
          <w:rFonts w:ascii="黑体" w:hAnsi="黑体" w:eastAsia="黑体" w:cs="黑体"/>
        </w:rPr>
      </w:pPr>
      <w:r>
        <w:rPr>
          <w:rFonts w:hint="eastAsia" w:ascii="黑体" w:hAnsi="黑体" w:eastAsia="黑体" w:cs="黑体"/>
        </w:rPr>
        <w:drawing>
          <wp:inline distT="0" distB="0" distL="0" distR="0">
            <wp:extent cx="1520190" cy="2872740"/>
            <wp:effectExtent l="0" t="0" r="3810" b="3810"/>
            <wp:docPr id="25" name="图片 25" desc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20190" cy="2872740"/>
                    </a:xfrm>
                    <a:prstGeom prst="rect">
                      <a:avLst/>
                    </a:prstGeom>
                    <a:noFill/>
                    <a:ln>
                      <a:noFill/>
                    </a:ln>
                  </pic:spPr>
                </pic:pic>
              </a:graphicData>
            </a:graphic>
          </wp:inline>
        </w:drawing>
      </w:r>
      <w:r>
        <w:rPr>
          <w:rFonts w:hint="eastAsia" w:ascii="黑体" w:hAnsi="黑体" w:eastAsia="黑体" w:cs="黑体"/>
        </w:rPr>
        <w:t xml:space="preserve">                   </w:t>
      </w:r>
      <w:r>
        <w:rPr>
          <w:rFonts w:hint="eastAsia" w:ascii="黑体" w:hAnsi="黑体" w:eastAsia="黑体" w:cs="黑体"/>
        </w:rPr>
        <w:drawing>
          <wp:inline distT="0" distB="0" distL="0" distR="0">
            <wp:extent cx="1519555" cy="2872740"/>
            <wp:effectExtent l="0" t="0" r="4445" b="3810"/>
            <wp:docPr id="24" name="图片 24" desc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2"/>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19555" cy="2872740"/>
                    </a:xfrm>
                    <a:prstGeom prst="rect">
                      <a:avLst/>
                    </a:prstGeom>
                    <a:noFill/>
                    <a:ln>
                      <a:noFill/>
                    </a:ln>
                  </pic:spPr>
                </pic:pic>
              </a:graphicData>
            </a:graphic>
          </wp:inline>
        </w:drawing>
      </w:r>
    </w:p>
    <w:p w14:paraId="5E7C8984">
      <w:pPr>
        <w:pStyle w:val="6"/>
        <w:spacing w:line="360" w:lineRule="exact"/>
        <w:ind w:firstLine="840" w:firstLineChars="400"/>
        <w:rPr>
          <w:rFonts w:ascii="黑体" w:hAnsi="黑体" w:eastAsia="黑体" w:cs="黑体"/>
          <w:b/>
        </w:rPr>
      </w:pPr>
      <w:r>
        <w:rPr>
          <w:rFonts w:hint="eastAsia" w:ascii="黑体" w:hAnsi="黑体" w:eastAsia="黑体" w:cs="黑体"/>
        </w:rPr>
        <w:t xml:space="preserve">图A.9  </w:t>
      </w:r>
      <w:r>
        <w:rPr>
          <w:rFonts w:hint="eastAsia" w:ascii="黑体" w:hAnsi="黑体" w:eastAsia="黑体" w:cs="黑体"/>
          <w:b/>
        </w:rPr>
        <w:t xml:space="preserve">发动机运转时，不应打                </w:t>
      </w:r>
      <w:r>
        <w:rPr>
          <w:rFonts w:hint="eastAsia" w:ascii="黑体" w:hAnsi="黑体" w:eastAsia="黑体" w:cs="黑体"/>
        </w:rPr>
        <w:t xml:space="preserve">图A.10  </w:t>
      </w:r>
      <w:r>
        <w:rPr>
          <w:rFonts w:hint="eastAsia" w:ascii="黑体" w:hAnsi="黑体" w:eastAsia="黑体" w:cs="黑体"/>
          <w:b/>
        </w:rPr>
        <w:t>发动机运转时，不应打</w:t>
      </w:r>
    </w:p>
    <w:p w14:paraId="268014E9">
      <w:pPr>
        <w:pStyle w:val="6"/>
        <w:spacing w:line="360" w:lineRule="exact"/>
        <w:ind w:firstLine="1432" w:firstLineChars="682"/>
        <w:rPr>
          <w:rFonts w:ascii="黑体" w:hAnsi="黑体" w:eastAsia="黑体" w:cs="黑体"/>
        </w:rPr>
      </w:pPr>
      <w:r>
        <w:rPr>
          <w:rFonts w:hint="eastAsia" w:ascii="黑体" w:hAnsi="黑体" w:eastAsia="黑体" w:cs="黑体"/>
          <w:b/>
        </w:rPr>
        <w:t>开或拆下安全防护罩                        开或拆下安全防护罩</w:t>
      </w:r>
    </w:p>
    <w:p w14:paraId="03DB9245">
      <w:pPr>
        <w:pStyle w:val="6"/>
        <w:spacing w:line="360" w:lineRule="exact"/>
        <w:rPr>
          <w:rFonts w:ascii="黑体" w:hAnsi="黑体" w:eastAsia="黑体" w:cs="黑体"/>
        </w:rPr>
      </w:pPr>
    </w:p>
    <w:p w14:paraId="0AEB9570">
      <w:pPr>
        <w:pStyle w:val="6"/>
        <w:spacing w:line="360" w:lineRule="exact"/>
        <w:rPr>
          <w:rFonts w:ascii="黑体" w:hAnsi="黑体" w:eastAsia="黑体" w:cs="黑体"/>
        </w:rPr>
      </w:pPr>
    </w:p>
    <w:p w14:paraId="727EBD55">
      <w:pPr>
        <w:pStyle w:val="6"/>
        <w:spacing w:line="360" w:lineRule="exact"/>
        <w:rPr>
          <w:rFonts w:ascii="黑体" w:hAnsi="黑体" w:eastAsia="黑体" w:cs="黑体"/>
        </w:rPr>
      </w:pPr>
      <w:r>
        <w:rPr>
          <w:rFonts w:ascii="黑体" w:hAnsi="黑体" w:eastAsia="黑体" w:cs="黑体"/>
        </w:rPr>
        <w:pict>
          <v:group id="_x0000_s1050" o:spid="_x0000_s1050" o:spt="203" style="position:absolute;left:0pt;margin-left:69.75pt;margin-top:0.95pt;height:249.6pt;width:333.75pt;z-index:251673600;mso-width-relative:page;mso-height-relative:page;" coordorigin="2611,3806" coordsize="6675,5228">
            <o:lock v:ext="edit"/>
            <v:group id="_x0000_s1051" o:spid="_x0000_s1051" o:spt="203" style="position:absolute;left:2611;top:3806;height:5228;width:6675;" coordorigin="2289,1886" coordsize="7245,6088">
              <o:lock v:ext="edit"/>
              <v:shape id="_x0000_s1052" o:spid="_x0000_s1052" o:spt="75" type="#_x0000_t75" style="position:absolute;left:6699;top:1886;height:6088;width:2835;" filled="f" coordsize="21600,21600">
                <v:path/>
                <v:fill on="f" focussize="0,0"/>
                <v:stroke/>
                <v:imagedata r:id="rId30" o:title="7"/>
                <o:lock v:ext="edit" aspectratio="t"/>
              </v:shape>
              <v:shape id="_x0000_s1053" o:spid="_x0000_s1053" o:spt="75" type="#_x0000_t75" style="position:absolute;left:2289;top:1886;height:5928;width:2850;" o:ole="t" filled="f" coordsize="21600,21600">
                <v:path/>
                <v:fill on="f" focussize="0,0"/>
                <v:stroke/>
                <v:imagedata r:id="rId32" o:title=""/>
                <o:lock v:ext="edit" aspectratio="t"/>
              </v:shape>
            </v:group>
            <v:rect id="_x0000_s1054" o:spid="_x0000_s1054" o:spt="1" style="position:absolute;left:2791;top:6146;height:2496;width:2160;" stroked="f" coordsize="21600,21600">
              <v:path/>
              <v:fill focussize="0,0"/>
              <v:stroke on="f"/>
              <v:imagedata o:title=""/>
              <o:lock v:ext="edit"/>
              <v:textbox>
                <w:txbxContent>
                  <w:p w14:paraId="47D6AE07">
                    <w:pPr>
                      <w:pStyle w:val="12"/>
                      <w:spacing w:line="520" w:lineRule="exact"/>
                      <w:rPr>
                        <w:rFonts w:ascii="黑体" w:eastAsia="黑体"/>
                        <w:sz w:val="24"/>
                      </w:rPr>
                    </w:pPr>
                    <w:r>
                      <w:rPr>
                        <w:rFonts w:hint="eastAsia" w:ascii="黑体" w:eastAsia="黑体"/>
                        <w:sz w:val="22"/>
                        <w:szCs w:val="22"/>
                      </w:rPr>
                      <w:t>驾驶三轮汽车前仔细阅读使用说明书。操作时遵循使用说明和安全规则</w:t>
                    </w:r>
                    <w:r>
                      <w:rPr>
                        <w:rFonts w:hint="eastAsia" w:ascii="黑体" w:eastAsia="黑体"/>
                        <w:sz w:val="24"/>
                      </w:rPr>
                      <w:t>。</w:t>
                    </w:r>
                  </w:p>
                </w:txbxContent>
              </v:textbox>
            </v:rect>
            <v:shape id="_x0000_s1055" o:spid="_x0000_s1055" style="position:absolute;left:2820;top:6108;height:2532;width:1;" filled="f" coordsize="1,2532" path="m0,0l0,2532e">
              <v:path arrowok="t"/>
              <v:fill on="f" focussize="0,0"/>
              <v:stroke weight="1pt"/>
              <v:imagedata o:title=""/>
              <o:lock v:ext="edit"/>
            </v:shape>
          </v:group>
          <o:OLEObject Type="Embed" ProgID="Word.Picture.8" ShapeID="_x0000_s1053" DrawAspect="Content" ObjectID="_1468075725" r:id="rId31">
            <o:LockedField>false</o:LockedField>
          </o:OLEObject>
        </w:pict>
      </w:r>
    </w:p>
    <w:p w14:paraId="5983C4C0">
      <w:pPr>
        <w:pStyle w:val="6"/>
        <w:spacing w:line="360" w:lineRule="exact"/>
        <w:rPr>
          <w:rFonts w:ascii="黑体" w:hAnsi="黑体" w:eastAsia="黑体" w:cs="黑体"/>
        </w:rPr>
      </w:pPr>
    </w:p>
    <w:p w14:paraId="725DBA60">
      <w:pPr>
        <w:pStyle w:val="6"/>
        <w:spacing w:line="360" w:lineRule="exact"/>
        <w:rPr>
          <w:rFonts w:ascii="黑体" w:hAnsi="黑体" w:eastAsia="黑体" w:cs="黑体"/>
        </w:rPr>
      </w:pPr>
    </w:p>
    <w:p w14:paraId="2E38E8EC">
      <w:pPr>
        <w:pStyle w:val="6"/>
        <w:spacing w:line="360" w:lineRule="exact"/>
        <w:rPr>
          <w:rFonts w:ascii="黑体" w:hAnsi="黑体" w:eastAsia="黑体" w:cs="黑体"/>
        </w:rPr>
      </w:pPr>
    </w:p>
    <w:p w14:paraId="22D819F5">
      <w:pPr>
        <w:pStyle w:val="6"/>
        <w:spacing w:line="360" w:lineRule="exact"/>
        <w:rPr>
          <w:rFonts w:ascii="黑体" w:hAnsi="黑体" w:eastAsia="黑体" w:cs="黑体"/>
        </w:rPr>
      </w:pPr>
    </w:p>
    <w:p w14:paraId="33820B2C">
      <w:pPr>
        <w:pStyle w:val="6"/>
        <w:spacing w:line="360" w:lineRule="exact"/>
        <w:rPr>
          <w:rFonts w:ascii="黑体" w:hAnsi="黑体" w:eastAsia="黑体" w:cs="黑体"/>
        </w:rPr>
      </w:pPr>
    </w:p>
    <w:p w14:paraId="3FE533D4">
      <w:pPr>
        <w:pStyle w:val="6"/>
        <w:spacing w:line="360" w:lineRule="exact"/>
        <w:rPr>
          <w:rFonts w:ascii="黑体" w:hAnsi="黑体" w:eastAsia="黑体" w:cs="黑体"/>
        </w:rPr>
      </w:pPr>
    </w:p>
    <w:p w14:paraId="70562220">
      <w:pPr>
        <w:pStyle w:val="6"/>
        <w:spacing w:line="360" w:lineRule="exact"/>
        <w:rPr>
          <w:rFonts w:ascii="黑体" w:hAnsi="黑体" w:eastAsia="黑体" w:cs="黑体"/>
        </w:rPr>
      </w:pPr>
    </w:p>
    <w:p w14:paraId="4845B2F6">
      <w:pPr>
        <w:pStyle w:val="6"/>
        <w:spacing w:line="360" w:lineRule="exact"/>
        <w:rPr>
          <w:rFonts w:ascii="黑体" w:hAnsi="黑体" w:eastAsia="黑体" w:cs="黑体"/>
        </w:rPr>
      </w:pPr>
    </w:p>
    <w:p w14:paraId="6325A766">
      <w:pPr>
        <w:pStyle w:val="6"/>
        <w:spacing w:line="360" w:lineRule="exact"/>
        <w:rPr>
          <w:rFonts w:ascii="黑体" w:hAnsi="黑体" w:eastAsia="黑体" w:cs="黑体"/>
        </w:rPr>
      </w:pPr>
    </w:p>
    <w:p w14:paraId="1D06CB1D">
      <w:pPr>
        <w:pStyle w:val="6"/>
        <w:spacing w:line="360" w:lineRule="exact"/>
        <w:rPr>
          <w:rFonts w:ascii="黑体" w:hAnsi="黑体" w:eastAsia="黑体" w:cs="黑体"/>
        </w:rPr>
      </w:pPr>
    </w:p>
    <w:p w14:paraId="699B2D9D">
      <w:pPr>
        <w:pStyle w:val="6"/>
        <w:spacing w:line="360" w:lineRule="exact"/>
        <w:rPr>
          <w:rFonts w:ascii="黑体" w:hAnsi="黑体" w:eastAsia="黑体" w:cs="黑体"/>
        </w:rPr>
      </w:pPr>
    </w:p>
    <w:p w14:paraId="140A04DF">
      <w:pPr>
        <w:pStyle w:val="6"/>
        <w:spacing w:line="360" w:lineRule="exact"/>
        <w:rPr>
          <w:rFonts w:ascii="黑体" w:hAnsi="黑体" w:eastAsia="黑体" w:cs="黑体"/>
        </w:rPr>
      </w:pPr>
    </w:p>
    <w:p w14:paraId="26073F83">
      <w:pPr>
        <w:pStyle w:val="6"/>
        <w:spacing w:line="360" w:lineRule="exact"/>
        <w:rPr>
          <w:rFonts w:ascii="黑体" w:hAnsi="黑体" w:eastAsia="黑体" w:cs="黑体"/>
        </w:rPr>
      </w:pPr>
    </w:p>
    <w:p w14:paraId="7857FC49">
      <w:pPr>
        <w:pStyle w:val="6"/>
        <w:spacing w:line="360" w:lineRule="exact"/>
        <w:rPr>
          <w:rFonts w:ascii="黑体" w:hAnsi="黑体" w:eastAsia="黑体" w:cs="黑体"/>
        </w:rPr>
      </w:pPr>
    </w:p>
    <w:p w14:paraId="7FF723C1">
      <w:pPr>
        <w:pStyle w:val="6"/>
        <w:spacing w:line="360" w:lineRule="exact"/>
        <w:ind w:firstLine="1470" w:firstLineChars="700"/>
        <w:rPr>
          <w:rFonts w:ascii="黑体" w:hAnsi="黑体" w:eastAsia="黑体" w:cs="黑体"/>
        </w:rPr>
      </w:pPr>
      <w:r>
        <w:rPr>
          <w:rFonts w:hint="eastAsia" w:ascii="黑体" w:hAnsi="黑体" w:eastAsia="黑体" w:cs="黑体"/>
        </w:rPr>
        <w:t>图A.11  阅读使用说明书                  图A.12  阅读使用说明书</w:t>
      </w:r>
    </w:p>
    <w:p w14:paraId="1124C897">
      <w:pPr>
        <w:pStyle w:val="6"/>
        <w:spacing w:line="360" w:lineRule="exact"/>
        <w:rPr>
          <w:rFonts w:ascii="黑体" w:hAnsi="黑体" w:eastAsia="黑体" w:cs="黑体"/>
        </w:rPr>
      </w:pPr>
    </w:p>
    <w:p w14:paraId="436A2668">
      <w:pPr>
        <w:pStyle w:val="6"/>
        <w:spacing w:line="360" w:lineRule="exact"/>
        <w:rPr>
          <w:rFonts w:ascii="黑体" w:hAnsi="黑体" w:eastAsia="黑体" w:cs="黑体"/>
        </w:rPr>
      </w:pPr>
    </w:p>
    <w:p w14:paraId="2D2CC56F">
      <w:pPr>
        <w:pStyle w:val="6"/>
        <w:spacing w:line="360" w:lineRule="exact"/>
        <w:rPr>
          <w:rFonts w:ascii="黑体" w:hAnsi="黑体" w:eastAsia="黑体" w:cs="黑体"/>
        </w:rPr>
      </w:pPr>
    </w:p>
    <w:p w14:paraId="0B5B7C81">
      <w:pPr>
        <w:pStyle w:val="6"/>
        <w:spacing w:line="360" w:lineRule="exact"/>
        <w:rPr>
          <w:rFonts w:ascii="黑体" w:hAnsi="黑体" w:eastAsia="黑体" w:cs="黑体"/>
        </w:rPr>
      </w:pPr>
    </w:p>
    <w:p w14:paraId="7B3A85E7">
      <w:pPr>
        <w:pStyle w:val="6"/>
        <w:spacing w:line="360" w:lineRule="exact"/>
        <w:rPr>
          <w:rFonts w:ascii="黑体" w:hAnsi="黑体" w:eastAsia="黑体" w:cs="黑体"/>
        </w:rPr>
      </w:pPr>
    </w:p>
    <w:p w14:paraId="2FA2C052">
      <w:pPr>
        <w:pStyle w:val="6"/>
        <w:ind w:firstLine="1050" w:firstLineChars="500"/>
        <w:rPr>
          <w:rFonts w:ascii="黑体" w:hAnsi="黑体" w:eastAsia="黑体" w:cs="黑体"/>
        </w:rPr>
      </w:pPr>
      <w:r>
        <w:rPr>
          <w:rFonts w:hint="eastAsia" w:ascii="黑体" w:hAnsi="黑体" w:eastAsia="黑体" w:cs="黑体"/>
        </w:rPr>
        <w:drawing>
          <wp:inline distT="0" distB="0" distL="0" distR="0">
            <wp:extent cx="1520190" cy="2872740"/>
            <wp:effectExtent l="0" t="0" r="3810" b="3810"/>
            <wp:docPr id="46" name="图片 32" desc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2" descr="c2"/>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20190" cy="2872740"/>
                    </a:xfrm>
                    <a:prstGeom prst="rect">
                      <a:avLst/>
                    </a:prstGeom>
                    <a:noFill/>
                    <a:ln>
                      <a:noFill/>
                    </a:ln>
                  </pic:spPr>
                </pic:pic>
              </a:graphicData>
            </a:graphic>
          </wp:inline>
        </w:drawing>
      </w:r>
      <w:r>
        <w:rPr>
          <w:rFonts w:hint="eastAsia" w:ascii="黑体" w:hAnsi="黑体" w:eastAsia="黑体" w:cs="黑体"/>
        </w:rPr>
        <w:t xml:space="preserve">                     </w:t>
      </w:r>
      <w:r>
        <w:rPr>
          <w:rFonts w:hint="eastAsia" w:ascii="黑体" w:hAnsi="黑体" w:eastAsia="黑体" w:cs="黑体"/>
        </w:rPr>
        <w:drawing>
          <wp:inline distT="0" distB="0" distL="0" distR="0">
            <wp:extent cx="1468120" cy="2773680"/>
            <wp:effectExtent l="0" t="0" r="0" b="7620"/>
            <wp:docPr id="47" name="图片 33" desc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3" descr="C2"/>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68120" cy="2773680"/>
                    </a:xfrm>
                    <a:prstGeom prst="rect">
                      <a:avLst/>
                    </a:prstGeom>
                    <a:noFill/>
                    <a:ln>
                      <a:noFill/>
                    </a:ln>
                  </pic:spPr>
                </pic:pic>
              </a:graphicData>
            </a:graphic>
          </wp:inline>
        </w:drawing>
      </w:r>
    </w:p>
    <w:p w14:paraId="6DBD944A">
      <w:pPr>
        <w:pStyle w:val="6"/>
        <w:spacing w:line="360" w:lineRule="exact"/>
        <w:ind w:firstLine="630" w:firstLineChars="300"/>
        <w:rPr>
          <w:rFonts w:ascii="黑体" w:hAnsi="黑体" w:eastAsia="黑体" w:cs="黑体"/>
        </w:rPr>
      </w:pPr>
      <w:r>
        <w:rPr>
          <w:rFonts w:hint="eastAsia" w:ascii="黑体" w:hAnsi="黑体" w:eastAsia="黑体" w:cs="黑体"/>
        </w:rPr>
        <w:t>图A.13  避免高压液体泄漏，查阅使用           图A.14  进行保养或维修前，发</w:t>
      </w:r>
    </w:p>
    <w:p w14:paraId="6EA27EF6">
      <w:pPr>
        <w:pStyle w:val="6"/>
        <w:spacing w:line="360" w:lineRule="exact"/>
        <w:ind w:firstLine="1260" w:firstLineChars="600"/>
        <w:rPr>
          <w:rFonts w:ascii="黑体" w:hAnsi="黑体" w:eastAsia="黑体" w:cs="黑体"/>
        </w:rPr>
      </w:pPr>
      <w:r>
        <w:rPr>
          <w:rFonts w:hint="eastAsia" w:ascii="黑体" w:hAnsi="黑体" w:eastAsia="黑体" w:cs="黑体"/>
        </w:rPr>
        <w:t>说明书了解正确的维修程序                   动机应熄火并拔下钥匙</w:t>
      </w:r>
    </w:p>
    <w:p w14:paraId="3CF570E5">
      <w:pPr>
        <w:pStyle w:val="30"/>
        <w:spacing w:line="360" w:lineRule="exact"/>
        <w:ind w:firstLine="420"/>
        <w:rPr>
          <w:rFonts w:ascii="Times New Roman"/>
        </w:rPr>
      </w:pPr>
    </w:p>
    <w:p w14:paraId="452261EF">
      <w:pPr>
        <w:pStyle w:val="30"/>
        <w:spacing w:line="360" w:lineRule="exact"/>
        <w:ind w:firstLine="420"/>
        <w:rPr>
          <w:rFonts w:ascii="Times New Roman"/>
        </w:rPr>
      </w:pPr>
    </w:p>
    <w:p w14:paraId="1900FD9A">
      <w:pPr>
        <w:pStyle w:val="30"/>
        <w:spacing w:line="360" w:lineRule="exact"/>
        <w:ind w:firstLine="420"/>
        <w:rPr>
          <w:rFonts w:ascii="Times New Roman"/>
        </w:rPr>
      </w:pPr>
    </w:p>
    <w:p w14:paraId="3CA32FD4">
      <w:pPr>
        <w:widowControl/>
        <w:jc w:val="left"/>
        <w:rPr>
          <w:kern w:val="0"/>
          <w:szCs w:val="20"/>
        </w:rPr>
      </w:pPr>
      <w:r>
        <w:br w:type="page"/>
      </w:r>
    </w:p>
    <w:p w14:paraId="40AAF4F8">
      <w:pPr>
        <w:spacing w:line="360" w:lineRule="exact"/>
        <w:jc w:val="center"/>
        <w:rPr>
          <w:rFonts w:ascii="黑体" w:hAnsi="黑体" w:eastAsia="黑体"/>
          <w:szCs w:val="21"/>
        </w:rPr>
      </w:pPr>
      <w:r>
        <w:rPr>
          <w:rFonts w:ascii="黑体" w:hAnsi="黑体" w:eastAsia="黑体"/>
          <w:szCs w:val="21"/>
        </w:rPr>
        <w:t>附录</w:t>
      </w:r>
      <w:r>
        <w:rPr>
          <w:rFonts w:hint="eastAsia" w:ascii="黑体" w:hAnsi="黑体" w:eastAsia="黑体"/>
          <w:szCs w:val="21"/>
        </w:rPr>
        <w:t>B</w:t>
      </w:r>
    </w:p>
    <w:p w14:paraId="12AF228A">
      <w:pPr>
        <w:spacing w:line="360" w:lineRule="exact"/>
        <w:jc w:val="center"/>
        <w:rPr>
          <w:rFonts w:ascii="黑体" w:hAnsi="黑体" w:eastAsia="黑体"/>
          <w:szCs w:val="21"/>
        </w:rPr>
      </w:pPr>
      <w:r>
        <w:rPr>
          <w:rFonts w:hint="eastAsia" w:ascii="黑体" w:hAnsi="黑体" w:eastAsia="黑体"/>
          <w:szCs w:val="21"/>
        </w:rPr>
        <w:t>气压系统制动响应时间测量方法</w:t>
      </w:r>
    </w:p>
    <w:p w14:paraId="0685518C">
      <w:pPr>
        <w:spacing w:line="360" w:lineRule="exact"/>
        <w:jc w:val="center"/>
        <w:rPr>
          <w:rFonts w:ascii="黑体" w:hAnsi="黑体" w:eastAsia="黑体"/>
          <w:szCs w:val="21"/>
        </w:rPr>
      </w:pPr>
      <w:r>
        <w:rPr>
          <w:rFonts w:hint="eastAsia" w:ascii="黑体" w:hAnsi="黑体" w:eastAsia="黑体"/>
          <w:szCs w:val="21"/>
        </w:rPr>
        <w:t>（</w:t>
      </w:r>
      <w:r>
        <w:rPr>
          <w:rFonts w:ascii="黑体" w:hAnsi="黑体" w:eastAsia="黑体"/>
          <w:szCs w:val="21"/>
        </w:rPr>
        <w:t>规范性</w:t>
      </w:r>
      <w:r>
        <w:rPr>
          <w:rFonts w:hint="eastAsia" w:ascii="黑体" w:hAnsi="黑体" w:eastAsia="黑体"/>
          <w:szCs w:val="21"/>
        </w:rPr>
        <w:t>）</w:t>
      </w:r>
    </w:p>
    <w:p w14:paraId="0D7D9815">
      <w:pPr>
        <w:pStyle w:val="6"/>
        <w:spacing w:before="156" w:beforeLines="50" w:after="156" w:afterLines="50" w:line="360" w:lineRule="exact"/>
        <w:rPr>
          <w:rFonts w:ascii="黑体" w:hAnsi="黑体" w:eastAsia="黑体"/>
        </w:rPr>
      </w:pPr>
      <w:r>
        <w:rPr>
          <w:rFonts w:hint="eastAsia" w:ascii="黑体" w:hAnsi="黑体" w:eastAsia="黑体"/>
        </w:rPr>
        <w:t>B.1  试验条件</w:t>
      </w:r>
    </w:p>
    <w:p w14:paraId="4D6870D9">
      <w:pPr>
        <w:pStyle w:val="6"/>
        <w:spacing w:line="360" w:lineRule="exact"/>
        <w:rPr>
          <w:rFonts w:ascii="Times New Roman" w:hAnsi="Times New Roman"/>
        </w:rPr>
      </w:pPr>
      <w:r>
        <w:rPr>
          <w:rFonts w:ascii="Times New Roman" w:hAnsi="Times New Roman"/>
        </w:rPr>
        <w:t>B.1.1  测试时</w:t>
      </w:r>
      <w:r>
        <w:rPr>
          <w:rFonts w:hint="eastAsia" w:ascii="Times New Roman" w:hAnsi="Times New Roman"/>
        </w:rPr>
        <w:t>，</w:t>
      </w:r>
      <w:r>
        <w:rPr>
          <w:rFonts w:ascii="Times New Roman" w:hAnsi="Times New Roman"/>
        </w:rPr>
        <w:t>三轮汽车应处于静止状态，分别</w:t>
      </w:r>
      <w:r>
        <w:rPr>
          <w:rFonts w:hint="eastAsia" w:ascii="Times New Roman" w:hAnsi="Times New Roman"/>
        </w:rPr>
        <w:t>在</w:t>
      </w:r>
      <w:r>
        <w:rPr>
          <w:rFonts w:ascii="Times New Roman" w:hAnsi="Times New Roman"/>
        </w:rPr>
        <w:t>后桥的左右气室</w:t>
      </w:r>
      <w:r>
        <w:rPr>
          <w:rFonts w:hint="eastAsia" w:ascii="Times New Roman" w:hAnsi="Times New Roman"/>
        </w:rPr>
        <w:t>进气口处</w:t>
      </w:r>
      <w:r>
        <w:rPr>
          <w:rFonts w:ascii="Times New Roman" w:hAnsi="Times New Roman"/>
        </w:rPr>
        <w:t>安装</w:t>
      </w:r>
      <w:r>
        <w:rPr>
          <w:rFonts w:hint="eastAsia" w:ascii="Times New Roman" w:hAnsi="Times New Roman"/>
        </w:rPr>
        <w:t>压力</w:t>
      </w:r>
      <w:r>
        <w:rPr>
          <w:rFonts w:ascii="Times New Roman" w:hAnsi="Times New Roman"/>
        </w:rPr>
        <w:t>传感器</w:t>
      </w:r>
      <w:r>
        <w:rPr>
          <w:rFonts w:hint="eastAsia" w:ascii="Times New Roman" w:hAnsi="Times New Roman"/>
        </w:rPr>
        <w:t>（也可每个气室分别进行测试），测量制动气室的压力变化情况。</w:t>
      </w:r>
    </w:p>
    <w:p w14:paraId="20CD5EDA">
      <w:pPr>
        <w:pStyle w:val="6"/>
        <w:spacing w:line="360" w:lineRule="exact"/>
        <w:rPr>
          <w:rFonts w:ascii="Times New Roman" w:hAnsi="Times New Roman"/>
        </w:rPr>
      </w:pPr>
      <w:r>
        <w:rPr>
          <w:rFonts w:ascii="Times New Roman" w:hAnsi="Times New Roman"/>
        </w:rPr>
        <w:t>B.1.</w:t>
      </w:r>
      <w:r>
        <w:rPr>
          <w:rFonts w:hint="eastAsia" w:ascii="Times New Roman" w:hAnsi="Times New Roman"/>
        </w:rPr>
        <w:t>2</w:t>
      </w:r>
      <w:r>
        <w:rPr>
          <w:rFonts w:ascii="Times New Roman" w:hAnsi="Times New Roman"/>
        </w:rPr>
        <w:t xml:space="preserve">  </w:t>
      </w:r>
      <w:r>
        <w:rPr>
          <w:rFonts w:hint="eastAsia" w:ascii="Times New Roman" w:hAnsi="Times New Roman"/>
        </w:rPr>
        <w:t>试验前，每个制动气室的行程应按制造厂的规定值调整，或者是相当于制动器调整间隙下限时的行程。</w:t>
      </w:r>
    </w:p>
    <w:p w14:paraId="4BFBC397">
      <w:pPr>
        <w:pStyle w:val="6"/>
        <w:spacing w:before="156" w:beforeLines="50" w:after="156" w:afterLines="50" w:line="360" w:lineRule="exact"/>
        <w:rPr>
          <w:rFonts w:ascii="黑体" w:hAnsi="黑体" w:eastAsia="黑体"/>
        </w:rPr>
      </w:pPr>
      <w:r>
        <w:rPr>
          <w:rFonts w:hint="eastAsia" w:ascii="黑体" w:hAnsi="黑体" w:eastAsia="黑体"/>
        </w:rPr>
        <w:t>B.2  试验方法</w:t>
      </w:r>
    </w:p>
    <w:p w14:paraId="3C29DED5">
      <w:pPr>
        <w:pStyle w:val="6"/>
        <w:spacing w:line="360" w:lineRule="exact"/>
        <w:rPr>
          <w:rFonts w:ascii="Times New Roman" w:hAnsi="Times New Roman"/>
        </w:rPr>
      </w:pPr>
      <w:r>
        <w:rPr>
          <w:rFonts w:ascii="Times New Roman" w:hAnsi="Times New Roman"/>
        </w:rPr>
        <w:t>B.</w:t>
      </w:r>
      <w:r>
        <w:rPr>
          <w:rFonts w:hint="eastAsia" w:ascii="Times New Roman" w:hAnsi="Times New Roman"/>
        </w:rPr>
        <w:t>2</w:t>
      </w:r>
      <w:r>
        <w:rPr>
          <w:rFonts w:ascii="Times New Roman" w:hAnsi="Times New Roman"/>
        </w:rPr>
        <w:t xml:space="preserve">.1  </w:t>
      </w:r>
      <w:r>
        <w:rPr>
          <w:rFonts w:hint="eastAsia" w:ascii="Times New Roman" w:hAnsi="Times New Roman"/>
        </w:rPr>
        <w:t>启动</w:t>
      </w:r>
      <w:r>
        <w:rPr>
          <w:rFonts w:ascii="Times New Roman" w:hAnsi="Times New Roman"/>
        </w:rPr>
        <w:t>三轮汽车</w:t>
      </w:r>
      <w:r>
        <w:rPr>
          <w:rFonts w:hint="eastAsia" w:ascii="Times New Roman" w:hAnsi="Times New Roman"/>
        </w:rPr>
        <w:t>，将试验压力加载到制造厂规定的压力值（储能装置的压力调压阀恢复向制动系统供气时的压力）。</w:t>
      </w:r>
    </w:p>
    <w:p w14:paraId="15E9205A">
      <w:pPr>
        <w:pStyle w:val="6"/>
        <w:spacing w:line="360" w:lineRule="exact"/>
        <w:rPr>
          <w:rFonts w:ascii="Times New Roman" w:hAnsi="Times New Roman"/>
        </w:rPr>
      </w:pPr>
      <w:r>
        <w:rPr>
          <w:rFonts w:ascii="Times New Roman" w:hAnsi="Times New Roman"/>
        </w:rPr>
        <w:t>B.</w:t>
      </w:r>
      <w:r>
        <w:rPr>
          <w:rFonts w:hint="eastAsia" w:ascii="Times New Roman" w:hAnsi="Times New Roman"/>
        </w:rPr>
        <w:t>2</w:t>
      </w:r>
      <w:r>
        <w:rPr>
          <w:rFonts w:ascii="Times New Roman" w:hAnsi="Times New Roman"/>
        </w:rPr>
        <w:t>.</w:t>
      </w:r>
      <w:r>
        <w:rPr>
          <w:rFonts w:hint="eastAsia" w:ascii="Times New Roman" w:hAnsi="Times New Roman"/>
        </w:rPr>
        <w:t>2</w:t>
      </w:r>
      <w:r>
        <w:rPr>
          <w:rFonts w:ascii="Times New Roman" w:hAnsi="Times New Roman"/>
        </w:rPr>
        <w:t xml:space="preserve">  </w:t>
      </w:r>
      <w:r>
        <w:rPr>
          <w:rFonts w:hint="eastAsia" w:ascii="Times New Roman" w:hAnsi="Times New Roman"/>
        </w:rPr>
        <w:t>将踏板力计牢固安装在制动踏板上，并防止其操作过程中滑落。</w:t>
      </w:r>
    </w:p>
    <w:p w14:paraId="2D6144BE">
      <w:pPr>
        <w:pStyle w:val="6"/>
        <w:spacing w:line="360" w:lineRule="exact"/>
        <w:rPr>
          <w:rFonts w:ascii="Times New Roman" w:hAnsi="Times New Roman"/>
        </w:rPr>
      </w:pPr>
      <w:r>
        <w:rPr>
          <w:rFonts w:ascii="Times New Roman" w:hAnsi="Times New Roman"/>
        </w:rPr>
        <w:t>B.</w:t>
      </w:r>
      <w:r>
        <w:rPr>
          <w:rFonts w:hint="eastAsia" w:ascii="Times New Roman" w:hAnsi="Times New Roman"/>
        </w:rPr>
        <w:t>2</w:t>
      </w:r>
      <w:r>
        <w:rPr>
          <w:rFonts w:ascii="Times New Roman" w:hAnsi="Times New Roman"/>
        </w:rPr>
        <w:t>.</w:t>
      </w:r>
      <w:r>
        <w:rPr>
          <w:rFonts w:hint="eastAsia" w:ascii="Times New Roman" w:hAnsi="Times New Roman"/>
        </w:rPr>
        <w:t>3</w:t>
      </w:r>
      <w:r>
        <w:rPr>
          <w:rFonts w:ascii="Times New Roman" w:hAnsi="Times New Roman"/>
        </w:rPr>
        <w:t xml:space="preserve">  </w:t>
      </w:r>
      <w:r>
        <w:rPr>
          <w:rFonts w:hint="eastAsia" w:ascii="Times New Roman" w:hAnsi="Times New Roman"/>
        </w:rPr>
        <w:t>启动测试系统，驾驶员应在0.2 s内（即促动时间：制动踏板力在连续上升阶段中开始从最低点到最大点的时间）迅速踩下制动踏板，进行一个全行程的制动并保持，自动记录试验数据。制动响应时间测试曲线示意图见图B.1。</w:t>
      </w:r>
    </w:p>
    <w:p w14:paraId="60758BA7">
      <w:pPr>
        <w:pStyle w:val="6"/>
        <w:spacing w:line="360" w:lineRule="exact"/>
        <w:rPr>
          <w:rFonts w:ascii="Times New Roman" w:hAnsi="Times New Roman"/>
        </w:rPr>
      </w:pPr>
      <w:r>
        <w:rPr>
          <w:rFonts w:ascii="Times New Roman" w:hAnsi="Times New Roman"/>
        </w:rPr>
        <w:t>B.</w:t>
      </w:r>
      <w:r>
        <w:rPr>
          <w:rFonts w:hint="eastAsia" w:ascii="Times New Roman" w:hAnsi="Times New Roman"/>
        </w:rPr>
        <w:t>2</w:t>
      </w:r>
      <w:r>
        <w:rPr>
          <w:rFonts w:ascii="Times New Roman" w:hAnsi="Times New Roman"/>
        </w:rPr>
        <w:t>.</w:t>
      </w:r>
      <w:r>
        <w:rPr>
          <w:rFonts w:hint="eastAsia" w:ascii="Times New Roman" w:hAnsi="Times New Roman"/>
        </w:rPr>
        <w:t>3</w:t>
      </w:r>
      <w:r>
        <w:rPr>
          <w:rFonts w:ascii="Times New Roman" w:hAnsi="Times New Roman"/>
        </w:rPr>
        <w:t xml:space="preserve">  </w:t>
      </w:r>
      <w:r>
        <w:rPr>
          <w:rFonts w:hint="eastAsia" w:ascii="Times New Roman" w:hAnsi="Times New Roman"/>
        </w:rPr>
        <w:t>制动气室响应时间可用插值法在曲线图中得出。</w:t>
      </w:r>
    </w:p>
    <w:p w14:paraId="5B18E9C2">
      <w:pPr>
        <w:pStyle w:val="6"/>
        <w:spacing w:line="360" w:lineRule="exact"/>
        <w:rPr>
          <w:rFonts w:ascii="Times New Roman" w:hAnsi="Times New Roman"/>
        </w:rPr>
      </w:pPr>
    </w:p>
    <w:p w14:paraId="7316B7DC">
      <w:pPr>
        <w:pStyle w:val="6"/>
        <w:jc w:val="center"/>
        <w:rPr>
          <w:rFonts w:ascii="Times New Roman" w:hAnsi="Times New Roman"/>
        </w:rPr>
      </w:pPr>
      <w:r>
        <w:drawing>
          <wp:inline distT="0" distB="0" distL="0" distR="0">
            <wp:extent cx="3054350" cy="1949450"/>
            <wp:effectExtent l="0" t="0" r="0" b="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3054350" cy="1949450"/>
                    </a:xfrm>
                    <a:prstGeom prst="rect">
                      <a:avLst/>
                    </a:prstGeom>
                    <a:noFill/>
                    <a:ln>
                      <a:noFill/>
                    </a:ln>
                  </pic:spPr>
                </pic:pic>
              </a:graphicData>
            </a:graphic>
          </wp:inline>
        </w:drawing>
      </w:r>
    </w:p>
    <w:p w14:paraId="31B59C03">
      <w:pPr>
        <w:pStyle w:val="6"/>
        <w:spacing w:line="360" w:lineRule="exact"/>
        <w:jc w:val="center"/>
        <w:rPr>
          <w:rFonts w:ascii="黑体" w:hAnsi="黑体" w:eastAsia="黑体" w:cs="黑体"/>
        </w:rPr>
      </w:pPr>
      <w:r>
        <w:rPr>
          <w:rFonts w:hint="eastAsia" w:ascii="黑体" w:hAnsi="黑体" w:eastAsia="黑体" w:cs="黑体"/>
        </w:rPr>
        <mc:AlternateContent>
          <mc:Choice Requires="wps">
            <w:drawing>
              <wp:anchor distT="0" distB="0" distL="114300" distR="114300" simplePos="0" relativeHeight="251669504" behindDoc="0" locked="0" layoutInCell="0" allowOverlap="1">
                <wp:simplePos x="0" y="0"/>
                <wp:positionH relativeFrom="column">
                  <wp:posOffset>1920875</wp:posOffset>
                </wp:positionH>
                <wp:positionV relativeFrom="paragraph">
                  <wp:posOffset>2070100</wp:posOffset>
                </wp:positionV>
                <wp:extent cx="1866900" cy="0"/>
                <wp:effectExtent l="0" t="0" r="19050" b="19050"/>
                <wp:wrapNone/>
                <wp:docPr id="11" name="直线 34"/>
                <wp:cNvGraphicFramePr/>
                <a:graphic xmlns:a="http://schemas.openxmlformats.org/drawingml/2006/main">
                  <a:graphicData uri="http://schemas.microsoft.com/office/word/2010/wordprocessingShape">
                    <wps:wsp>
                      <wps:cNvCnPr/>
                      <wps:spPr>
                        <a:xfrm>
                          <a:off x="0" y="0"/>
                          <a:ext cx="18669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34" o:spid="_x0000_s1026" o:spt="20" style="position:absolute;left:0pt;margin-left:151.25pt;margin-top:163pt;height:0pt;width:147pt;z-index:251669504;mso-width-relative:page;mso-height-relative:page;" filled="f" stroked="t" coordsize="21600,21600" o:allowincell="f" o:gfxdata="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HFdin1gAAAAsBAAAP&#10;AAAAAAAAAAEAIAAAACIAAABkcnMvZG93bnJldi54bWxQSwECFAAUAAAACACHTuJAi40QFeEBAADS&#10;AwAADgAAAAAAAAABACAAAAAlAQAAZHJzL2Uyb0RvYy54bWxQSwUGAAAAAAYABgBZAQAAeAUAAAAA&#10;">
                <v:fill on="f" focussize="0,0"/>
                <v:stroke weight="1.5pt" color="#000000" joinstyle="round"/>
                <v:imagedata o:title=""/>
                <o:lock v:ext="edit" aspectratio="f"/>
              </v:line>
            </w:pict>
          </mc:Fallback>
        </mc:AlternateContent>
      </w:r>
      <w:r>
        <w:rPr>
          <w:rFonts w:hint="eastAsia" w:ascii="黑体" w:hAnsi="黑体" w:eastAsia="黑体" w:cs="黑体"/>
        </w:rPr>
        <w:t>图 B.1 制动响应时间测试曲线示意图</w:t>
      </w:r>
    </w:p>
    <w:sectPr>
      <w:headerReference r:id="rId12" w:type="default"/>
      <w:footerReference r:id="rId13" w:type="default"/>
      <w:pgSz w:w="11906" w:h="16838"/>
      <w:pgMar w:top="1418" w:right="1134" w:bottom="1134" w:left="1247" w:header="851" w:footer="992"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方正书宋简体">
    <w:altName w:val="宋体"/>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449E6">
    <w:pPr>
      <w:pStyle w:val="25"/>
      <w:rPr>
        <w:rStyle w:val="19"/>
      </w:rPr>
    </w:pPr>
    <w:r>
      <w:rPr>
        <w:rStyle w:val="19"/>
      </w:rPr>
      <w:fldChar w:fldCharType="begin"/>
    </w:r>
    <w:r>
      <w:rPr>
        <w:rStyle w:val="19"/>
      </w:rPr>
      <w:instrText xml:space="preserve">PAGE  </w:instrText>
    </w:r>
    <w:r>
      <w:rPr>
        <w:rStyle w:val="19"/>
      </w:rPr>
      <w:fldChar w:fldCharType="separate"/>
    </w:r>
    <w:r>
      <w:rPr>
        <w:rStyle w:val="19"/>
      </w:rPr>
      <w:t>1</w:t>
    </w:r>
    <w:r>
      <w:rPr>
        <w:rStyle w:val="19"/>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3776C">
    <w:pPr>
      <w:pStyle w:val="24"/>
      <w:rPr>
        <w:rStyle w:val="19"/>
      </w:rPr>
    </w:pPr>
    <w:r>
      <w:rPr>
        <w:rStyle w:val="19"/>
      </w:rPr>
      <w:fldChar w:fldCharType="begin"/>
    </w:r>
    <w:r>
      <w:rPr>
        <w:rStyle w:val="19"/>
      </w:rPr>
      <w:instrText xml:space="preserve">PAGE  </w:instrText>
    </w:r>
    <w:r>
      <w:rPr>
        <w:rStyle w:val="19"/>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F6BE5">
    <w:pPr>
      <w:pStyle w:val="10"/>
      <w:framePr w:wrap="around" w:vAnchor="text" w:hAnchor="margin" w:xAlign="center" w:y="1"/>
      <w:rPr>
        <w:rStyle w:val="19"/>
      </w:rPr>
    </w:pPr>
    <w:r>
      <w:rPr>
        <w:rStyle w:val="19"/>
      </w:rPr>
      <w:fldChar w:fldCharType="begin"/>
    </w:r>
    <w:r>
      <w:rPr>
        <w:rStyle w:val="19"/>
      </w:rPr>
      <w:instrText xml:space="preserve">PAGE  </w:instrText>
    </w:r>
    <w:r>
      <w:rPr>
        <w:rStyle w:val="19"/>
      </w:rPr>
      <w:fldChar w:fldCharType="separate"/>
    </w:r>
    <w:r>
      <w:rPr>
        <w:rStyle w:val="19"/>
      </w:rPr>
      <w:t>IV</w:t>
    </w:r>
    <w:r>
      <w:rPr>
        <w:rStyle w:val="19"/>
      </w:rPr>
      <w:fldChar w:fldCharType="end"/>
    </w:r>
  </w:p>
  <w:p w14:paraId="68FB97C4">
    <w:pPr>
      <w:pStyle w:val="25"/>
      <w:rPr>
        <w:rStyle w:val="1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14E92">
    <w:pPr>
      <w:pStyle w:val="10"/>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14:paraId="62A61E74">
    <w:pPr>
      <w:pStyle w:val="24"/>
      <w:rPr>
        <w:rStyle w:val="19"/>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0BF34">
    <w:pPr>
      <w:pStyle w:val="10"/>
      <w:framePr w:wrap="around" w:vAnchor="text" w:hAnchor="margin" w:xAlign="center" w:y="1"/>
      <w:rPr>
        <w:rStyle w:val="19"/>
        <w:b/>
        <w:sz w:val="21"/>
        <w:szCs w:val="21"/>
      </w:rPr>
    </w:pPr>
    <w:r>
      <w:rPr>
        <w:rStyle w:val="19"/>
        <w:b/>
        <w:sz w:val="21"/>
        <w:szCs w:val="21"/>
      </w:rPr>
      <w:fldChar w:fldCharType="begin"/>
    </w:r>
    <w:r>
      <w:rPr>
        <w:rStyle w:val="19"/>
        <w:b/>
        <w:sz w:val="21"/>
        <w:szCs w:val="21"/>
      </w:rPr>
      <w:instrText xml:space="preserve">PAGE  </w:instrText>
    </w:r>
    <w:r>
      <w:rPr>
        <w:rStyle w:val="19"/>
        <w:b/>
        <w:sz w:val="21"/>
        <w:szCs w:val="21"/>
      </w:rPr>
      <w:fldChar w:fldCharType="separate"/>
    </w:r>
    <w:r>
      <w:rPr>
        <w:rStyle w:val="19"/>
        <w:b/>
        <w:sz w:val="21"/>
        <w:szCs w:val="21"/>
      </w:rPr>
      <w:t>7</w:t>
    </w:r>
    <w:r>
      <w:rPr>
        <w:rStyle w:val="19"/>
        <w:b/>
        <w:sz w:val="21"/>
        <w:szCs w:val="21"/>
      </w:rPr>
      <w:fldChar w:fldCharType="end"/>
    </w:r>
  </w:p>
  <w:p w14:paraId="7EC1FA3D">
    <w:pPr>
      <w:pStyle w:val="25"/>
      <w:rPr>
        <w:rStyle w:val="19"/>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48713">
    <w:pPr>
      <w:pStyle w:val="26"/>
    </w:pPr>
    <w:r>
      <w:t>GB 10395.8—200×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B118C">
    <w:pPr>
      <w:pStyle w:val="27"/>
    </w:pPr>
    <w:r>
      <w:t>GB 10395.8—200×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47995">
    <w:pPr>
      <w:pStyle w:val="28"/>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72AD6">
    <w:pPr>
      <w:pStyle w:val="26"/>
      <w:rPr>
        <w:b/>
      </w:rPr>
    </w:pPr>
    <w:r>
      <w:rPr>
        <w:b/>
      </w:rPr>
      <w:t xml:space="preserve">GB </w:t>
    </w:r>
    <w:r>
      <w:rPr>
        <w:rFonts w:hint="eastAsia" w:ascii="宋体" w:hAnsi="宋体"/>
        <w:b/>
      </w:rPr>
      <w:t>18320</w:t>
    </w:r>
    <w:r>
      <w:rPr>
        <w:rFonts w:hint="eastAsia"/>
        <w:b/>
      </w:rPr>
      <w:t>－</w:t>
    </w:r>
    <w:r>
      <w:rPr>
        <w:b/>
      </w:rPr>
      <w:t>20</w:t>
    </w:r>
    <w:r>
      <w:rPr>
        <w:rFonts w:hint="eastAsia"/>
        <w:b/>
      </w:rPr>
      <w:t>2</w:t>
    </w:r>
    <w:r>
      <w:rPr>
        <w:rFonts w:ascii="宋体" w:hAnsi="宋体"/>
        <w:b/>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7BB39">
    <w:pPr>
      <w:pStyle w:val="27"/>
      <w:rPr>
        <w:b/>
      </w:rPr>
    </w:pPr>
    <w:r>
      <w:rPr>
        <w:b/>
      </w:rPr>
      <w:t xml:space="preserve">GB </w:t>
    </w:r>
    <w:r>
      <w:rPr>
        <w:rFonts w:hint="eastAsia"/>
        <w:b/>
      </w:rPr>
      <w:t>18320－</w:t>
    </w:r>
    <w:r>
      <w:rPr>
        <w:b/>
      </w:rPr>
      <w:t>200</w:t>
    </w:r>
    <w:r>
      <w:rPr>
        <w:rFonts w:ascii="宋体" w:hAnsi="宋体"/>
        <w:b/>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0804E">
    <w:pPr>
      <w:pStyle w:val="26"/>
      <w:spacing w:line="360" w:lineRule="auto"/>
      <w:rPr>
        <w:b/>
      </w:rPr>
    </w:pPr>
    <w:r>
      <w:rPr>
        <w:b/>
      </w:rPr>
      <w:t xml:space="preserve">GB </w:t>
    </w:r>
    <w:r>
      <w:rPr>
        <w:rFonts w:ascii="宋体" w:hAnsi="宋体"/>
        <w:b/>
      </w:rPr>
      <w:t>××××</w:t>
    </w:r>
    <w:r>
      <w:rPr>
        <w:b/>
      </w:rPr>
      <w:t>—200</w:t>
    </w:r>
    <w:r>
      <w:rPr>
        <w:rFonts w:ascii="宋体" w:hAnsi="宋体"/>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8"/>
      <w:suff w:val="nothing"/>
      <w:lvlText w:val="%1%2.%3　"/>
      <w:lvlJc w:val="left"/>
      <w:pPr>
        <w:ind w:left="0" w:firstLine="0"/>
      </w:pPr>
      <w:rPr>
        <w:rFonts w:hint="eastAsia" w:ascii="黑体" w:hAnsi="Times New Roman" w:eastAsia="黑体"/>
        <w:b w:val="0"/>
        <w:i w:val="0"/>
        <w:sz w:val="21"/>
      </w:rPr>
    </w:lvl>
    <w:lvl w:ilvl="3" w:tentative="0">
      <w:start w:val="1"/>
      <w:numFmt w:val="decimal"/>
      <w:pStyle w:val="54"/>
      <w:suff w:val="nothing"/>
      <w:lvlText w:val="%1%2.%3.%4　"/>
      <w:lvlJc w:val="left"/>
      <w:pPr>
        <w:ind w:left="0" w:firstLine="0"/>
      </w:pPr>
      <w:rPr>
        <w:rFonts w:hint="eastAsia" w:ascii="黑体" w:hAnsi="Times New Roman" w:eastAsia="黑体"/>
        <w:b w:val="0"/>
        <w:i w:val="0"/>
        <w:sz w:val="21"/>
      </w:rPr>
    </w:lvl>
    <w:lvl w:ilvl="4" w:tentative="0">
      <w:start w:val="1"/>
      <w:numFmt w:val="decimal"/>
      <w:pStyle w:val="55"/>
      <w:suff w:val="nothing"/>
      <w:lvlText w:val="%1%2.%3.%4.%5　"/>
      <w:lvlJc w:val="left"/>
      <w:pPr>
        <w:ind w:left="0" w:firstLine="0"/>
      </w:pPr>
      <w:rPr>
        <w:rFonts w:hint="eastAsia" w:ascii="黑体" w:hAnsi="Times New Roman" w:eastAsia="黑体"/>
        <w:b w:val="0"/>
        <w:i w:val="0"/>
        <w:sz w:val="21"/>
      </w:rPr>
    </w:lvl>
    <w:lvl w:ilvl="5" w:tentative="0">
      <w:start w:val="1"/>
      <w:numFmt w:val="decimal"/>
      <w:pStyle w:val="56"/>
      <w:suff w:val="nothing"/>
      <w:lvlText w:val="%1%2.%3.%4.%5.%6　"/>
      <w:lvlJc w:val="left"/>
      <w:pPr>
        <w:ind w:left="0" w:firstLine="0"/>
      </w:pPr>
      <w:rPr>
        <w:rFonts w:hint="eastAsia" w:ascii="黑体" w:hAnsi="Times New Roman" w:eastAsia="黑体"/>
        <w:b w:val="0"/>
        <w:i w:val="0"/>
        <w:sz w:val="21"/>
      </w:rPr>
    </w:lvl>
    <w:lvl w:ilvl="6" w:tentative="0">
      <w:start w:val="1"/>
      <w:numFmt w:val="decimal"/>
      <w:pStyle w:val="5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AE367E9"/>
    <w:multiLevelType w:val="multilevel"/>
    <w:tmpl w:val="0AE367E9"/>
    <w:lvl w:ilvl="0" w:tentative="0">
      <w:start w:val="1"/>
      <w:numFmt w:val="none"/>
      <w:pStyle w:val="48"/>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5B873BF"/>
    <w:multiLevelType w:val="multilevel"/>
    <w:tmpl w:val="15B873BF"/>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CEA2025"/>
    <w:multiLevelType w:val="multilevel"/>
    <w:tmpl w:val="6CEA2025"/>
    <w:lvl w:ilvl="0" w:tentative="0">
      <w:start w:val="1"/>
      <w:numFmt w:val="none"/>
      <w:pStyle w:val="29"/>
      <w:suff w:val="nothing"/>
      <w:lvlText w:val="%1"/>
      <w:lvlJc w:val="left"/>
      <w:pPr>
        <w:ind w:left="0" w:firstLine="0"/>
      </w:pPr>
      <w:rPr>
        <w:rFonts w:hint="default" w:ascii="Times New Roman" w:hAnsi="Times New Roman"/>
        <w:b/>
        <w:i w:val="0"/>
        <w:sz w:val="21"/>
      </w:rPr>
    </w:lvl>
    <w:lvl w:ilvl="1" w:tentative="0">
      <w:start w:val="1"/>
      <w:numFmt w:val="decimal"/>
      <w:pStyle w:val="32"/>
      <w:suff w:val="nothing"/>
      <w:lvlText w:val="%1%2　"/>
      <w:lvlJc w:val="left"/>
      <w:pPr>
        <w:ind w:left="0" w:firstLine="0"/>
      </w:pPr>
      <w:rPr>
        <w:rFonts w:hint="eastAsia" w:ascii="黑体" w:hAnsi="Times New Roman" w:eastAsia="黑体"/>
        <w:b w:val="0"/>
        <w:i w:val="0"/>
        <w:sz w:val="21"/>
      </w:rPr>
    </w:lvl>
    <w:lvl w:ilvl="2" w:tentative="0">
      <w:start w:val="1"/>
      <w:numFmt w:val="decimal"/>
      <w:pStyle w:val="33"/>
      <w:suff w:val="nothing"/>
      <w:lvlText w:val="%1%2.%3　"/>
      <w:lvlJc w:val="left"/>
      <w:pPr>
        <w:ind w:left="0" w:firstLine="0"/>
      </w:pPr>
      <w:rPr>
        <w:rFonts w:hint="eastAsia" w:ascii="黑体" w:hAnsi="Times New Roman" w:eastAsia="黑体"/>
        <w:b w:val="0"/>
        <w:i w:val="0"/>
        <w:sz w:val="21"/>
      </w:rPr>
    </w:lvl>
    <w:lvl w:ilvl="3" w:tentative="0">
      <w:start w:val="1"/>
      <w:numFmt w:val="decimal"/>
      <w:pStyle w:val="34"/>
      <w:suff w:val="nothing"/>
      <w:lvlText w:val="%1%2.%3.%4　"/>
      <w:lvlJc w:val="left"/>
      <w:pPr>
        <w:ind w:left="0" w:firstLine="0"/>
      </w:pPr>
      <w:rPr>
        <w:rFonts w:hint="eastAsia" w:ascii="黑体" w:hAnsi="Times New Roman" w:eastAsia="黑体"/>
        <w:b w:val="0"/>
        <w:i w:val="0"/>
        <w:sz w:val="21"/>
      </w:rPr>
    </w:lvl>
    <w:lvl w:ilvl="4" w:tentative="0">
      <w:start w:val="1"/>
      <w:numFmt w:val="decimal"/>
      <w:pStyle w:val="46"/>
      <w:suff w:val="nothing"/>
      <w:lvlText w:val="%1%2.%3.%4.%5　"/>
      <w:lvlJc w:val="left"/>
      <w:pPr>
        <w:ind w:left="0" w:firstLine="0"/>
      </w:pPr>
      <w:rPr>
        <w:rFonts w:hint="eastAsia" w:ascii="黑体" w:hAnsi="Times New Roman" w:eastAsia="黑体"/>
        <w:b w:val="0"/>
        <w:i w:val="0"/>
        <w:sz w:val="21"/>
      </w:rPr>
    </w:lvl>
    <w:lvl w:ilvl="5" w:tentative="0">
      <w:start w:val="1"/>
      <w:numFmt w:val="decimal"/>
      <w:pStyle w:val="49"/>
      <w:suff w:val="nothing"/>
      <w:lvlText w:val="%1%2.%3.%4.%5.%6　"/>
      <w:lvlJc w:val="left"/>
      <w:pPr>
        <w:ind w:left="0" w:firstLine="0"/>
      </w:pPr>
      <w:rPr>
        <w:rFonts w:hint="eastAsia" w:ascii="黑体" w:hAnsi="Times New Roman" w:eastAsia="黑体"/>
        <w:b w:val="0"/>
        <w:i w:val="0"/>
        <w:sz w:val="21"/>
      </w:rPr>
    </w:lvl>
    <w:lvl w:ilvl="6" w:tentative="0">
      <w:start w:val="1"/>
      <w:numFmt w:val="decimal"/>
      <w:pStyle w:val="5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NGVlMTgxODFlYzgyZTY1MDA0YjRhMTMwYWEyNmYifQ=="/>
  </w:docVars>
  <w:rsids>
    <w:rsidRoot w:val="004B48EC"/>
    <w:rsid w:val="00001BC3"/>
    <w:rsid w:val="00003798"/>
    <w:rsid w:val="00003D20"/>
    <w:rsid w:val="000134AB"/>
    <w:rsid w:val="00015834"/>
    <w:rsid w:val="000213D3"/>
    <w:rsid w:val="0002156F"/>
    <w:rsid w:val="000260D8"/>
    <w:rsid w:val="000328EB"/>
    <w:rsid w:val="00036414"/>
    <w:rsid w:val="0004285A"/>
    <w:rsid w:val="000540B5"/>
    <w:rsid w:val="00055B59"/>
    <w:rsid w:val="00065844"/>
    <w:rsid w:val="00066C52"/>
    <w:rsid w:val="000733FB"/>
    <w:rsid w:val="00084A89"/>
    <w:rsid w:val="00084A90"/>
    <w:rsid w:val="00084EBA"/>
    <w:rsid w:val="00093196"/>
    <w:rsid w:val="00096E90"/>
    <w:rsid w:val="000A0FCF"/>
    <w:rsid w:val="000A476A"/>
    <w:rsid w:val="000A642E"/>
    <w:rsid w:val="000B291E"/>
    <w:rsid w:val="000B4442"/>
    <w:rsid w:val="000B7E74"/>
    <w:rsid w:val="000C1034"/>
    <w:rsid w:val="000C168D"/>
    <w:rsid w:val="000D12E4"/>
    <w:rsid w:val="000D3959"/>
    <w:rsid w:val="000D410B"/>
    <w:rsid w:val="000F1943"/>
    <w:rsid w:val="000F2628"/>
    <w:rsid w:val="00101B72"/>
    <w:rsid w:val="00103572"/>
    <w:rsid w:val="00106B88"/>
    <w:rsid w:val="00111EBD"/>
    <w:rsid w:val="0011230E"/>
    <w:rsid w:val="001340B3"/>
    <w:rsid w:val="001374C8"/>
    <w:rsid w:val="00144555"/>
    <w:rsid w:val="001455D2"/>
    <w:rsid w:val="001474C0"/>
    <w:rsid w:val="001509BD"/>
    <w:rsid w:val="00152328"/>
    <w:rsid w:val="00157456"/>
    <w:rsid w:val="00157667"/>
    <w:rsid w:val="001650FA"/>
    <w:rsid w:val="00175E85"/>
    <w:rsid w:val="00176825"/>
    <w:rsid w:val="001948FE"/>
    <w:rsid w:val="00197F78"/>
    <w:rsid w:val="001A79C5"/>
    <w:rsid w:val="001B0631"/>
    <w:rsid w:val="001B2487"/>
    <w:rsid w:val="001B35D0"/>
    <w:rsid w:val="001B5EBC"/>
    <w:rsid w:val="001C6B80"/>
    <w:rsid w:val="001D64A7"/>
    <w:rsid w:val="001E2C05"/>
    <w:rsid w:val="001E7AEA"/>
    <w:rsid w:val="001F4E0A"/>
    <w:rsid w:val="0021058F"/>
    <w:rsid w:val="00212982"/>
    <w:rsid w:val="00214F08"/>
    <w:rsid w:val="00223893"/>
    <w:rsid w:val="00234717"/>
    <w:rsid w:val="0023482F"/>
    <w:rsid w:val="00236AF3"/>
    <w:rsid w:val="00256203"/>
    <w:rsid w:val="0025791A"/>
    <w:rsid w:val="002619C1"/>
    <w:rsid w:val="00271A82"/>
    <w:rsid w:val="0027555D"/>
    <w:rsid w:val="00286EB6"/>
    <w:rsid w:val="00292821"/>
    <w:rsid w:val="00294AB5"/>
    <w:rsid w:val="00294B60"/>
    <w:rsid w:val="002C0990"/>
    <w:rsid w:val="002C6581"/>
    <w:rsid w:val="002F7F83"/>
    <w:rsid w:val="00304511"/>
    <w:rsid w:val="00304F44"/>
    <w:rsid w:val="003154D9"/>
    <w:rsid w:val="00316311"/>
    <w:rsid w:val="00333BC0"/>
    <w:rsid w:val="003405B8"/>
    <w:rsid w:val="0035437E"/>
    <w:rsid w:val="00355E26"/>
    <w:rsid w:val="00357AB7"/>
    <w:rsid w:val="00372FF5"/>
    <w:rsid w:val="00375271"/>
    <w:rsid w:val="003807C9"/>
    <w:rsid w:val="003819AE"/>
    <w:rsid w:val="00384186"/>
    <w:rsid w:val="00391A9D"/>
    <w:rsid w:val="003A0FEE"/>
    <w:rsid w:val="003A2A32"/>
    <w:rsid w:val="003A3865"/>
    <w:rsid w:val="003C46E8"/>
    <w:rsid w:val="003C72F0"/>
    <w:rsid w:val="003D5DCE"/>
    <w:rsid w:val="003F58C7"/>
    <w:rsid w:val="00405784"/>
    <w:rsid w:val="00406E68"/>
    <w:rsid w:val="00417903"/>
    <w:rsid w:val="004319F9"/>
    <w:rsid w:val="004508E0"/>
    <w:rsid w:val="004576AC"/>
    <w:rsid w:val="004713F2"/>
    <w:rsid w:val="00474295"/>
    <w:rsid w:val="00481198"/>
    <w:rsid w:val="004952B5"/>
    <w:rsid w:val="004A6686"/>
    <w:rsid w:val="004B48EC"/>
    <w:rsid w:val="004C27F9"/>
    <w:rsid w:val="004F4E88"/>
    <w:rsid w:val="004F66B8"/>
    <w:rsid w:val="00505894"/>
    <w:rsid w:val="00512EA4"/>
    <w:rsid w:val="005174BA"/>
    <w:rsid w:val="00520239"/>
    <w:rsid w:val="00521119"/>
    <w:rsid w:val="0052138C"/>
    <w:rsid w:val="00527462"/>
    <w:rsid w:val="0055605D"/>
    <w:rsid w:val="00564E6C"/>
    <w:rsid w:val="00571F7F"/>
    <w:rsid w:val="00573E11"/>
    <w:rsid w:val="00577BFE"/>
    <w:rsid w:val="005922BC"/>
    <w:rsid w:val="0059630A"/>
    <w:rsid w:val="00596791"/>
    <w:rsid w:val="005A2979"/>
    <w:rsid w:val="005B1FD8"/>
    <w:rsid w:val="005B2882"/>
    <w:rsid w:val="005B3515"/>
    <w:rsid w:val="005B545C"/>
    <w:rsid w:val="005C16EC"/>
    <w:rsid w:val="005C19B2"/>
    <w:rsid w:val="005C6D88"/>
    <w:rsid w:val="005E192C"/>
    <w:rsid w:val="005E2B33"/>
    <w:rsid w:val="005E4B3E"/>
    <w:rsid w:val="005E5DF7"/>
    <w:rsid w:val="005E6B7A"/>
    <w:rsid w:val="005F3931"/>
    <w:rsid w:val="00601E60"/>
    <w:rsid w:val="0062064C"/>
    <w:rsid w:val="00624879"/>
    <w:rsid w:val="006309D5"/>
    <w:rsid w:val="0063662D"/>
    <w:rsid w:val="006422AF"/>
    <w:rsid w:val="0064262D"/>
    <w:rsid w:val="00643B3A"/>
    <w:rsid w:val="006471A3"/>
    <w:rsid w:val="0064775A"/>
    <w:rsid w:val="00652239"/>
    <w:rsid w:val="006544AE"/>
    <w:rsid w:val="00654AD7"/>
    <w:rsid w:val="006631A1"/>
    <w:rsid w:val="0067600F"/>
    <w:rsid w:val="00676D7F"/>
    <w:rsid w:val="00680717"/>
    <w:rsid w:val="00683B42"/>
    <w:rsid w:val="006906E0"/>
    <w:rsid w:val="00692209"/>
    <w:rsid w:val="00694FF5"/>
    <w:rsid w:val="006A0F2C"/>
    <w:rsid w:val="006A3416"/>
    <w:rsid w:val="006C05C4"/>
    <w:rsid w:val="006C0B42"/>
    <w:rsid w:val="006C0F60"/>
    <w:rsid w:val="006C1639"/>
    <w:rsid w:val="006C510F"/>
    <w:rsid w:val="006D4CE6"/>
    <w:rsid w:val="006D6C8A"/>
    <w:rsid w:val="006E0F4A"/>
    <w:rsid w:val="006E4257"/>
    <w:rsid w:val="006E42D3"/>
    <w:rsid w:val="006E4DC7"/>
    <w:rsid w:val="006E5A13"/>
    <w:rsid w:val="006F28B7"/>
    <w:rsid w:val="006F7048"/>
    <w:rsid w:val="00700B77"/>
    <w:rsid w:val="007108E3"/>
    <w:rsid w:val="007228E6"/>
    <w:rsid w:val="00731ACD"/>
    <w:rsid w:val="0073483E"/>
    <w:rsid w:val="00736AC0"/>
    <w:rsid w:val="007432FD"/>
    <w:rsid w:val="0074574F"/>
    <w:rsid w:val="007469D2"/>
    <w:rsid w:val="00752554"/>
    <w:rsid w:val="00767EF5"/>
    <w:rsid w:val="007704C5"/>
    <w:rsid w:val="00773152"/>
    <w:rsid w:val="00785E1B"/>
    <w:rsid w:val="00787217"/>
    <w:rsid w:val="007944D9"/>
    <w:rsid w:val="007B2A4F"/>
    <w:rsid w:val="007C4AA1"/>
    <w:rsid w:val="007D0D3D"/>
    <w:rsid w:val="007D7931"/>
    <w:rsid w:val="007E0518"/>
    <w:rsid w:val="007E6386"/>
    <w:rsid w:val="007E784F"/>
    <w:rsid w:val="007F22B0"/>
    <w:rsid w:val="007F33C3"/>
    <w:rsid w:val="007F6D51"/>
    <w:rsid w:val="00817C56"/>
    <w:rsid w:val="00826240"/>
    <w:rsid w:val="00826DD8"/>
    <w:rsid w:val="0083720F"/>
    <w:rsid w:val="0083737B"/>
    <w:rsid w:val="00843B16"/>
    <w:rsid w:val="0086605E"/>
    <w:rsid w:val="0088709B"/>
    <w:rsid w:val="008B27B2"/>
    <w:rsid w:val="008B4CC5"/>
    <w:rsid w:val="008C154F"/>
    <w:rsid w:val="008C4797"/>
    <w:rsid w:val="008C69DB"/>
    <w:rsid w:val="008D1F92"/>
    <w:rsid w:val="008F02E0"/>
    <w:rsid w:val="008F32CB"/>
    <w:rsid w:val="009043EF"/>
    <w:rsid w:val="00917BAA"/>
    <w:rsid w:val="0092077A"/>
    <w:rsid w:val="00925336"/>
    <w:rsid w:val="00930A66"/>
    <w:rsid w:val="009314C6"/>
    <w:rsid w:val="00933BD6"/>
    <w:rsid w:val="00941FA7"/>
    <w:rsid w:val="009429E0"/>
    <w:rsid w:val="00944A52"/>
    <w:rsid w:val="0094620F"/>
    <w:rsid w:val="009514D9"/>
    <w:rsid w:val="0096201A"/>
    <w:rsid w:val="0096230A"/>
    <w:rsid w:val="00970BDF"/>
    <w:rsid w:val="00973147"/>
    <w:rsid w:val="00984309"/>
    <w:rsid w:val="00992940"/>
    <w:rsid w:val="009A50F9"/>
    <w:rsid w:val="009A5934"/>
    <w:rsid w:val="009A598C"/>
    <w:rsid w:val="009B05AB"/>
    <w:rsid w:val="009B06A5"/>
    <w:rsid w:val="009B199D"/>
    <w:rsid w:val="009B3373"/>
    <w:rsid w:val="009C14E5"/>
    <w:rsid w:val="009C3AF9"/>
    <w:rsid w:val="009D6911"/>
    <w:rsid w:val="009F2456"/>
    <w:rsid w:val="00A018C2"/>
    <w:rsid w:val="00A0445F"/>
    <w:rsid w:val="00A049E1"/>
    <w:rsid w:val="00A04D57"/>
    <w:rsid w:val="00A04E5B"/>
    <w:rsid w:val="00A20F9C"/>
    <w:rsid w:val="00A211CC"/>
    <w:rsid w:val="00A25D38"/>
    <w:rsid w:val="00A35E61"/>
    <w:rsid w:val="00A36F67"/>
    <w:rsid w:val="00A77932"/>
    <w:rsid w:val="00A8260B"/>
    <w:rsid w:val="00A84BDE"/>
    <w:rsid w:val="00A859A2"/>
    <w:rsid w:val="00A87183"/>
    <w:rsid w:val="00A877D0"/>
    <w:rsid w:val="00AA2A36"/>
    <w:rsid w:val="00AC2902"/>
    <w:rsid w:val="00AD17DA"/>
    <w:rsid w:val="00AD18B4"/>
    <w:rsid w:val="00AD4342"/>
    <w:rsid w:val="00AE467C"/>
    <w:rsid w:val="00AF4128"/>
    <w:rsid w:val="00AF6875"/>
    <w:rsid w:val="00B40FBA"/>
    <w:rsid w:val="00B45F55"/>
    <w:rsid w:val="00B516AC"/>
    <w:rsid w:val="00B66622"/>
    <w:rsid w:val="00B67F47"/>
    <w:rsid w:val="00B83256"/>
    <w:rsid w:val="00BA7A1C"/>
    <w:rsid w:val="00BB649E"/>
    <w:rsid w:val="00BC10A2"/>
    <w:rsid w:val="00BE4BEC"/>
    <w:rsid w:val="00BF6573"/>
    <w:rsid w:val="00C01C78"/>
    <w:rsid w:val="00C05C55"/>
    <w:rsid w:val="00C10CF4"/>
    <w:rsid w:val="00C1359E"/>
    <w:rsid w:val="00C3420B"/>
    <w:rsid w:val="00C34359"/>
    <w:rsid w:val="00C343D7"/>
    <w:rsid w:val="00C36C14"/>
    <w:rsid w:val="00C554A5"/>
    <w:rsid w:val="00C60978"/>
    <w:rsid w:val="00C6224E"/>
    <w:rsid w:val="00C629EF"/>
    <w:rsid w:val="00C81B65"/>
    <w:rsid w:val="00C84D7A"/>
    <w:rsid w:val="00CA5A99"/>
    <w:rsid w:val="00CB1679"/>
    <w:rsid w:val="00CD1A9A"/>
    <w:rsid w:val="00CD2C4F"/>
    <w:rsid w:val="00CD4132"/>
    <w:rsid w:val="00CF6220"/>
    <w:rsid w:val="00CF7B71"/>
    <w:rsid w:val="00D02532"/>
    <w:rsid w:val="00D05FA7"/>
    <w:rsid w:val="00D139C0"/>
    <w:rsid w:val="00D1502C"/>
    <w:rsid w:val="00D312EC"/>
    <w:rsid w:val="00D5235D"/>
    <w:rsid w:val="00D54CEC"/>
    <w:rsid w:val="00D627F1"/>
    <w:rsid w:val="00D72629"/>
    <w:rsid w:val="00D73B10"/>
    <w:rsid w:val="00D8245B"/>
    <w:rsid w:val="00D915B3"/>
    <w:rsid w:val="00DB3D6B"/>
    <w:rsid w:val="00DB4BF0"/>
    <w:rsid w:val="00DB744B"/>
    <w:rsid w:val="00DC49E0"/>
    <w:rsid w:val="00DD4785"/>
    <w:rsid w:val="00DF1DAF"/>
    <w:rsid w:val="00E02F4B"/>
    <w:rsid w:val="00E0576E"/>
    <w:rsid w:val="00E060CD"/>
    <w:rsid w:val="00E13954"/>
    <w:rsid w:val="00E14762"/>
    <w:rsid w:val="00E24777"/>
    <w:rsid w:val="00E26C2C"/>
    <w:rsid w:val="00E31F16"/>
    <w:rsid w:val="00E50809"/>
    <w:rsid w:val="00E55D83"/>
    <w:rsid w:val="00E64C48"/>
    <w:rsid w:val="00E72891"/>
    <w:rsid w:val="00E80C30"/>
    <w:rsid w:val="00E978C1"/>
    <w:rsid w:val="00EC4433"/>
    <w:rsid w:val="00EC4752"/>
    <w:rsid w:val="00ED3A2E"/>
    <w:rsid w:val="00ED69AD"/>
    <w:rsid w:val="00EE6A1F"/>
    <w:rsid w:val="00EE6B3E"/>
    <w:rsid w:val="00EF06CE"/>
    <w:rsid w:val="00EF5F7D"/>
    <w:rsid w:val="00F06FD4"/>
    <w:rsid w:val="00F211F6"/>
    <w:rsid w:val="00F31492"/>
    <w:rsid w:val="00F343A2"/>
    <w:rsid w:val="00F46D78"/>
    <w:rsid w:val="00F63627"/>
    <w:rsid w:val="00F63CFC"/>
    <w:rsid w:val="00F6407C"/>
    <w:rsid w:val="00F83095"/>
    <w:rsid w:val="00F90D7D"/>
    <w:rsid w:val="00FA7A57"/>
    <w:rsid w:val="00FB5CC7"/>
    <w:rsid w:val="00FC2752"/>
    <w:rsid w:val="00FC4E13"/>
    <w:rsid w:val="00FC5C77"/>
    <w:rsid w:val="00FC6229"/>
    <w:rsid w:val="00FC640F"/>
    <w:rsid w:val="00FD07C7"/>
    <w:rsid w:val="00FD12A7"/>
    <w:rsid w:val="00FD5535"/>
    <w:rsid w:val="00FD73CF"/>
    <w:rsid w:val="00FD7D04"/>
    <w:rsid w:val="00FE7288"/>
    <w:rsid w:val="00FF2918"/>
    <w:rsid w:val="00FF7154"/>
    <w:rsid w:val="010B7C69"/>
    <w:rsid w:val="014F4893"/>
    <w:rsid w:val="01667CBA"/>
    <w:rsid w:val="019E2DAF"/>
    <w:rsid w:val="01A3073B"/>
    <w:rsid w:val="01A5294B"/>
    <w:rsid w:val="01CB4B95"/>
    <w:rsid w:val="01D31B84"/>
    <w:rsid w:val="01ED2198"/>
    <w:rsid w:val="0219544D"/>
    <w:rsid w:val="029E15B1"/>
    <w:rsid w:val="02AF4375"/>
    <w:rsid w:val="02B04C50"/>
    <w:rsid w:val="02BB7BEA"/>
    <w:rsid w:val="02DF3CAB"/>
    <w:rsid w:val="02F91A08"/>
    <w:rsid w:val="031E0138"/>
    <w:rsid w:val="031E62CB"/>
    <w:rsid w:val="03295D4B"/>
    <w:rsid w:val="032F43A0"/>
    <w:rsid w:val="035E2B6B"/>
    <w:rsid w:val="0393768C"/>
    <w:rsid w:val="03CC49CF"/>
    <w:rsid w:val="04097864"/>
    <w:rsid w:val="04651DF6"/>
    <w:rsid w:val="04F605C8"/>
    <w:rsid w:val="05611FEE"/>
    <w:rsid w:val="05632FB6"/>
    <w:rsid w:val="05757C03"/>
    <w:rsid w:val="058C7E64"/>
    <w:rsid w:val="05A217DD"/>
    <w:rsid w:val="05AE5A5F"/>
    <w:rsid w:val="05D9297D"/>
    <w:rsid w:val="06086BAF"/>
    <w:rsid w:val="069D1440"/>
    <w:rsid w:val="06A76BAD"/>
    <w:rsid w:val="06C26A2F"/>
    <w:rsid w:val="0706264E"/>
    <w:rsid w:val="07337610"/>
    <w:rsid w:val="075939FE"/>
    <w:rsid w:val="07DC471E"/>
    <w:rsid w:val="081577B4"/>
    <w:rsid w:val="08A56A35"/>
    <w:rsid w:val="08CE42EF"/>
    <w:rsid w:val="09075D17"/>
    <w:rsid w:val="092A6241"/>
    <w:rsid w:val="092B7438"/>
    <w:rsid w:val="095C5B46"/>
    <w:rsid w:val="098761CE"/>
    <w:rsid w:val="09953724"/>
    <w:rsid w:val="09C64410"/>
    <w:rsid w:val="09D4100C"/>
    <w:rsid w:val="09EF60F4"/>
    <w:rsid w:val="09F71624"/>
    <w:rsid w:val="0A036910"/>
    <w:rsid w:val="0A1348C6"/>
    <w:rsid w:val="0A1D5398"/>
    <w:rsid w:val="0A326B00"/>
    <w:rsid w:val="0A4D5FB1"/>
    <w:rsid w:val="0A8042E9"/>
    <w:rsid w:val="0A8B0381"/>
    <w:rsid w:val="0A8D2F07"/>
    <w:rsid w:val="0AC43B6E"/>
    <w:rsid w:val="0B1D012D"/>
    <w:rsid w:val="0B350656"/>
    <w:rsid w:val="0B635340"/>
    <w:rsid w:val="0B890F0E"/>
    <w:rsid w:val="0B8E420A"/>
    <w:rsid w:val="0B9417BC"/>
    <w:rsid w:val="0BEF21AF"/>
    <w:rsid w:val="0C08719F"/>
    <w:rsid w:val="0C272694"/>
    <w:rsid w:val="0C396D85"/>
    <w:rsid w:val="0C4067A4"/>
    <w:rsid w:val="0C6F004C"/>
    <w:rsid w:val="0CBD298F"/>
    <w:rsid w:val="0CC170B3"/>
    <w:rsid w:val="0CC954FA"/>
    <w:rsid w:val="0D14478A"/>
    <w:rsid w:val="0D24658F"/>
    <w:rsid w:val="0D283185"/>
    <w:rsid w:val="0D8F7805"/>
    <w:rsid w:val="0DA46A7F"/>
    <w:rsid w:val="0DA815B3"/>
    <w:rsid w:val="0DAB0F4B"/>
    <w:rsid w:val="0DD7409D"/>
    <w:rsid w:val="0E9D28E3"/>
    <w:rsid w:val="0ECA7500"/>
    <w:rsid w:val="0EE81352"/>
    <w:rsid w:val="0F104BA8"/>
    <w:rsid w:val="0F756052"/>
    <w:rsid w:val="0F7B4AA5"/>
    <w:rsid w:val="0FE20AF9"/>
    <w:rsid w:val="0FF860F6"/>
    <w:rsid w:val="103D0AC6"/>
    <w:rsid w:val="10793A7E"/>
    <w:rsid w:val="10E70644"/>
    <w:rsid w:val="110D2FD2"/>
    <w:rsid w:val="11194AF8"/>
    <w:rsid w:val="113C764C"/>
    <w:rsid w:val="11424B3C"/>
    <w:rsid w:val="11453281"/>
    <w:rsid w:val="114F7F97"/>
    <w:rsid w:val="118029A2"/>
    <w:rsid w:val="11B75A77"/>
    <w:rsid w:val="122356AC"/>
    <w:rsid w:val="12466EEF"/>
    <w:rsid w:val="127D0416"/>
    <w:rsid w:val="12B26558"/>
    <w:rsid w:val="12C2066C"/>
    <w:rsid w:val="132539E4"/>
    <w:rsid w:val="139541C2"/>
    <w:rsid w:val="139B1FCC"/>
    <w:rsid w:val="13A6407E"/>
    <w:rsid w:val="13B97F56"/>
    <w:rsid w:val="13CC25B5"/>
    <w:rsid w:val="13FA41EA"/>
    <w:rsid w:val="14085E0B"/>
    <w:rsid w:val="141A6695"/>
    <w:rsid w:val="1428617C"/>
    <w:rsid w:val="144A7D40"/>
    <w:rsid w:val="14A7465C"/>
    <w:rsid w:val="14EA0703"/>
    <w:rsid w:val="14FA2B30"/>
    <w:rsid w:val="15461A98"/>
    <w:rsid w:val="15561D05"/>
    <w:rsid w:val="157D5311"/>
    <w:rsid w:val="15935791"/>
    <w:rsid w:val="15A43DFF"/>
    <w:rsid w:val="15AC3C0A"/>
    <w:rsid w:val="15C869B3"/>
    <w:rsid w:val="15CC565E"/>
    <w:rsid w:val="15EB1273"/>
    <w:rsid w:val="16321697"/>
    <w:rsid w:val="167F131F"/>
    <w:rsid w:val="16F304E3"/>
    <w:rsid w:val="16F65C8F"/>
    <w:rsid w:val="173009F2"/>
    <w:rsid w:val="173E3C2F"/>
    <w:rsid w:val="178E38C7"/>
    <w:rsid w:val="17AA44AA"/>
    <w:rsid w:val="17F6707E"/>
    <w:rsid w:val="17F83CA5"/>
    <w:rsid w:val="180A640E"/>
    <w:rsid w:val="1822771A"/>
    <w:rsid w:val="183111C1"/>
    <w:rsid w:val="185C7097"/>
    <w:rsid w:val="18C179CD"/>
    <w:rsid w:val="190F460C"/>
    <w:rsid w:val="197C2433"/>
    <w:rsid w:val="198A4A89"/>
    <w:rsid w:val="19AA39D9"/>
    <w:rsid w:val="19B42E72"/>
    <w:rsid w:val="19C37E22"/>
    <w:rsid w:val="19FB5CBE"/>
    <w:rsid w:val="1A027703"/>
    <w:rsid w:val="1A1D50D7"/>
    <w:rsid w:val="1A1F6092"/>
    <w:rsid w:val="1A403D6A"/>
    <w:rsid w:val="1A7C0248"/>
    <w:rsid w:val="1AE3010F"/>
    <w:rsid w:val="1AF358E9"/>
    <w:rsid w:val="1B0D18C5"/>
    <w:rsid w:val="1BC4731E"/>
    <w:rsid w:val="1C0A168B"/>
    <w:rsid w:val="1C0C7820"/>
    <w:rsid w:val="1C7D369C"/>
    <w:rsid w:val="1C981C00"/>
    <w:rsid w:val="1CA02826"/>
    <w:rsid w:val="1CAD256E"/>
    <w:rsid w:val="1D536D3B"/>
    <w:rsid w:val="1D635BE0"/>
    <w:rsid w:val="1D6F6270"/>
    <w:rsid w:val="1D7713D9"/>
    <w:rsid w:val="1D7743F8"/>
    <w:rsid w:val="1D782E14"/>
    <w:rsid w:val="1D8D2EE1"/>
    <w:rsid w:val="1DB418AE"/>
    <w:rsid w:val="1DED3D87"/>
    <w:rsid w:val="1E4A1876"/>
    <w:rsid w:val="1E8E50F6"/>
    <w:rsid w:val="1EBD4C28"/>
    <w:rsid w:val="1EF02DBA"/>
    <w:rsid w:val="1EF04819"/>
    <w:rsid w:val="1F5024DC"/>
    <w:rsid w:val="1FA916F0"/>
    <w:rsid w:val="202A40A9"/>
    <w:rsid w:val="20A41684"/>
    <w:rsid w:val="20B15FF2"/>
    <w:rsid w:val="20B322F1"/>
    <w:rsid w:val="20BE2CEC"/>
    <w:rsid w:val="20DB53A4"/>
    <w:rsid w:val="20EB5CF5"/>
    <w:rsid w:val="210A1607"/>
    <w:rsid w:val="21112877"/>
    <w:rsid w:val="221F7059"/>
    <w:rsid w:val="22213A39"/>
    <w:rsid w:val="223D50B4"/>
    <w:rsid w:val="224437AA"/>
    <w:rsid w:val="224860CA"/>
    <w:rsid w:val="22743B41"/>
    <w:rsid w:val="23336712"/>
    <w:rsid w:val="23580F2E"/>
    <w:rsid w:val="23935224"/>
    <w:rsid w:val="23AC6120"/>
    <w:rsid w:val="23AE50AA"/>
    <w:rsid w:val="23DF2175"/>
    <w:rsid w:val="23EF1892"/>
    <w:rsid w:val="241F2F74"/>
    <w:rsid w:val="24440A03"/>
    <w:rsid w:val="2475374C"/>
    <w:rsid w:val="24974696"/>
    <w:rsid w:val="24CA7193"/>
    <w:rsid w:val="24DC4B11"/>
    <w:rsid w:val="250A73DC"/>
    <w:rsid w:val="250D29BD"/>
    <w:rsid w:val="25471354"/>
    <w:rsid w:val="25651AC5"/>
    <w:rsid w:val="2588549E"/>
    <w:rsid w:val="25A3114A"/>
    <w:rsid w:val="25A909A1"/>
    <w:rsid w:val="25AA0D54"/>
    <w:rsid w:val="25BD7AEA"/>
    <w:rsid w:val="25D2016C"/>
    <w:rsid w:val="25DB2180"/>
    <w:rsid w:val="26064C51"/>
    <w:rsid w:val="261A669E"/>
    <w:rsid w:val="263079DA"/>
    <w:rsid w:val="26514252"/>
    <w:rsid w:val="265B3DF5"/>
    <w:rsid w:val="266B71CA"/>
    <w:rsid w:val="26853386"/>
    <w:rsid w:val="26C269B9"/>
    <w:rsid w:val="26CD39E1"/>
    <w:rsid w:val="27406BAE"/>
    <w:rsid w:val="274417F4"/>
    <w:rsid w:val="27721324"/>
    <w:rsid w:val="27C5057F"/>
    <w:rsid w:val="27DC212D"/>
    <w:rsid w:val="28275159"/>
    <w:rsid w:val="282F4953"/>
    <w:rsid w:val="28495984"/>
    <w:rsid w:val="285C5EAD"/>
    <w:rsid w:val="286607CE"/>
    <w:rsid w:val="28F273D6"/>
    <w:rsid w:val="28FB3648"/>
    <w:rsid w:val="290D7E88"/>
    <w:rsid w:val="2943414B"/>
    <w:rsid w:val="29797616"/>
    <w:rsid w:val="297E2BE3"/>
    <w:rsid w:val="29970C8B"/>
    <w:rsid w:val="29E259F5"/>
    <w:rsid w:val="29E67293"/>
    <w:rsid w:val="2A263836"/>
    <w:rsid w:val="2A506144"/>
    <w:rsid w:val="2A75225E"/>
    <w:rsid w:val="2A9D41C3"/>
    <w:rsid w:val="2AD30360"/>
    <w:rsid w:val="2ADA66CC"/>
    <w:rsid w:val="2B0B7A2F"/>
    <w:rsid w:val="2B137933"/>
    <w:rsid w:val="2B2D0EF2"/>
    <w:rsid w:val="2B386FDF"/>
    <w:rsid w:val="2B563FA5"/>
    <w:rsid w:val="2B7E34FB"/>
    <w:rsid w:val="2BB73380"/>
    <w:rsid w:val="2BBC4A18"/>
    <w:rsid w:val="2C6B7F24"/>
    <w:rsid w:val="2C9F7573"/>
    <w:rsid w:val="2CD06253"/>
    <w:rsid w:val="2D3B1196"/>
    <w:rsid w:val="2D4D13D7"/>
    <w:rsid w:val="2D517119"/>
    <w:rsid w:val="2DD90EBD"/>
    <w:rsid w:val="2DDF5058"/>
    <w:rsid w:val="2E4211A9"/>
    <w:rsid w:val="2E51488C"/>
    <w:rsid w:val="2E6800D8"/>
    <w:rsid w:val="2E820C42"/>
    <w:rsid w:val="2EA1530C"/>
    <w:rsid w:val="2EBD7564"/>
    <w:rsid w:val="2EE32EBE"/>
    <w:rsid w:val="2EF85D17"/>
    <w:rsid w:val="2EFA733D"/>
    <w:rsid w:val="2F2F5298"/>
    <w:rsid w:val="2F467300"/>
    <w:rsid w:val="2F5E5B1E"/>
    <w:rsid w:val="2F770F0E"/>
    <w:rsid w:val="2F880DEC"/>
    <w:rsid w:val="2FAE19EB"/>
    <w:rsid w:val="2FBB69D5"/>
    <w:rsid w:val="30113773"/>
    <w:rsid w:val="302A137F"/>
    <w:rsid w:val="305736B4"/>
    <w:rsid w:val="305C3B7B"/>
    <w:rsid w:val="30792F42"/>
    <w:rsid w:val="309612E7"/>
    <w:rsid w:val="30E16A06"/>
    <w:rsid w:val="30E458DC"/>
    <w:rsid w:val="312A6559"/>
    <w:rsid w:val="313A2D0C"/>
    <w:rsid w:val="314F4BDC"/>
    <w:rsid w:val="315C744C"/>
    <w:rsid w:val="31607AD2"/>
    <w:rsid w:val="31613D91"/>
    <w:rsid w:val="316E0947"/>
    <w:rsid w:val="31833929"/>
    <w:rsid w:val="31C837D6"/>
    <w:rsid w:val="31CA3B1A"/>
    <w:rsid w:val="31CB6E36"/>
    <w:rsid w:val="31D11DC3"/>
    <w:rsid w:val="31E06CBE"/>
    <w:rsid w:val="31E560B5"/>
    <w:rsid w:val="31EB0FFF"/>
    <w:rsid w:val="32086B6D"/>
    <w:rsid w:val="32424199"/>
    <w:rsid w:val="32936192"/>
    <w:rsid w:val="331974C0"/>
    <w:rsid w:val="33325603"/>
    <w:rsid w:val="33326A60"/>
    <w:rsid w:val="3333106F"/>
    <w:rsid w:val="335B4AB3"/>
    <w:rsid w:val="339B687D"/>
    <w:rsid w:val="33BA699C"/>
    <w:rsid w:val="33E42ACA"/>
    <w:rsid w:val="33FB656D"/>
    <w:rsid w:val="34565015"/>
    <w:rsid w:val="34570B55"/>
    <w:rsid w:val="34931DC5"/>
    <w:rsid w:val="34977C79"/>
    <w:rsid w:val="34A46DF0"/>
    <w:rsid w:val="34AC6A12"/>
    <w:rsid w:val="34B42271"/>
    <w:rsid w:val="34BE2F64"/>
    <w:rsid w:val="34BF76DF"/>
    <w:rsid w:val="34C5219B"/>
    <w:rsid w:val="34DA1EC8"/>
    <w:rsid w:val="34FA44B7"/>
    <w:rsid w:val="3507693F"/>
    <w:rsid w:val="3530432C"/>
    <w:rsid w:val="35753BC1"/>
    <w:rsid w:val="357E0CC8"/>
    <w:rsid w:val="35D24B6F"/>
    <w:rsid w:val="360016DD"/>
    <w:rsid w:val="364F3BB1"/>
    <w:rsid w:val="367F153B"/>
    <w:rsid w:val="369C67E3"/>
    <w:rsid w:val="36D86FED"/>
    <w:rsid w:val="37506612"/>
    <w:rsid w:val="378C0D4E"/>
    <w:rsid w:val="37A92245"/>
    <w:rsid w:val="37B403F4"/>
    <w:rsid w:val="37D12C31"/>
    <w:rsid w:val="37DB4D0B"/>
    <w:rsid w:val="384927BA"/>
    <w:rsid w:val="385201EA"/>
    <w:rsid w:val="38624B0F"/>
    <w:rsid w:val="38690F47"/>
    <w:rsid w:val="388419BC"/>
    <w:rsid w:val="38AA34F9"/>
    <w:rsid w:val="39047745"/>
    <w:rsid w:val="39883E0E"/>
    <w:rsid w:val="39AD4C62"/>
    <w:rsid w:val="3A1F42A3"/>
    <w:rsid w:val="3A3F2B67"/>
    <w:rsid w:val="3A9C59FF"/>
    <w:rsid w:val="3AC3316C"/>
    <w:rsid w:val="3AC82A4E"/>
    <w:rsid w:val="3B1978D9"/>
    <w:rsid w:val="3B666687"/>
    <w:rsid w:val="3B7A3238"/>
    <w:rsid w:val="3B835273"/>
    <w:rsid w:val="3B882551"/>
    <w:rsid w:val="3BA23A70"/>
    <w:rsid w:val="3BAB3E99"/>
    <w:rsid w:val="3BB76081"/>
    <w:rsid w:val="3BEB36F2"/>
    <w:rsid w:val="3BF457E3"/>
    <w:rsid w:val="3C1C285C"/>
    <w:rsid w:val="3C357C06"/>
    <w:rsid w:val="3CDF60CE"/>
    <w:rsid w:val="3CFF3BE6"/>
    <w:rsid w:val="3D864515"/>
    <w:rsid w:val="3D864DDA"/>
    <w:rsid w:val="3DA23703"/>
    <w:rsid w:val="3DB73FDF"/>
    <w:rsid w:val="3E1F5331"/>
    <w:rsid w:val="3E8272F8"/>
    <w:rsid w:val="3E9C3BB7"/>
    <w:rsid w:val="3EA17BAB"/>
    <w:rsid w:val="3EE871B2"/>
    <w:rsid w:val="3EF017F4"/>
    <w:rsid w:val="3F480975"/>
    <w:rsid w:val="3F5B3E28"/>
    <w:rsid w:val="3FA72611"/>
    <w:rsid w:val="3FB75AA5"/>
    <w:rsid w:val="404875CB"/>
    <w:rsid w:val="406D0916"/>
    <w:rsid w:val="40831B13"/>
    <w:rsid w:val="40C917EE"/>
    <w:rsid w:val="40F07927"/>
    <w:rsid w:val="40FA5268"/>
    <w:rsid w:val="4148218A"/>
    <w:rsid w:val="416672B7"/>
    <w:rsid w:val="417B5F25"/>
    <w:rsid w:val="41AA2EE2"/>
    <w:rsid w:val="41D91034"/>
    <w:rsid w:val="41DE6871"/>
    <w:rsid w:val="42134546"/>
    <w:rsid w:val="422B7AE1"/>
    <w:rsid w:val="428C3E10"/>
    <w:rsid w:val="429D1FAF"/>
    <w:rsid w:val="42FF5145"/>
    <w:rsid w:val="431C717D"/>
    <w:rsid w:val="433168E2"/>
    <w:rsid w:val="43866312"/>
    <w:rsid w:val="439C3DE6"/>
    <w:rsid w:val="43A25133"/>
    <w:rsid w:val="43C20321"/>
    <w:rsid w:val="43E75C8A"/>
    <w:rsid w:val="441E75A6"/>
    <w:rsid w:val="44427015"/>
    <w:rsid w:val="444A6DDE"/>
    <w:rsid w:val="446D610C"/>
    <w:rsid w:val="44760DBC"/>
    <w:rsid w:val="44C53E2A"/>
    <w:rsid w:val="44E4041B"/>
    <w:rsid w:val="455E2B40"/>
    <w:rsid w:val="45724C29"/>
    <w:rsid w:val="45D86596"/>
    <w:rsid w:val="4645313C"/>
    <w:rsid w:val="46744693"/>
    <w:rsid w:val="46910CE8"/>
    <w:rsid w:val="46B2273B"/>
    <w:rsid w:val="46C83094"/>
    <w:rsid w:val="46EA3723"/>
    <w:rsid w:val="478302AA"/>
    <w:rsid w:val="48217488"/>
    <w:rsid w:val="482F5E51"/>
    <w:rsid w:val="48763A80"/>
    <w:rsid w:val="487B6CD6"/>
    <w:rsid w:val="487D2F69"/>
    <w:rsid w:val="48967C7F"/>
    <w:rsid w:val="48B0674D"/>
    <w:rsid w:val="48C4659A"/>
    <w:rsid w:val="490502D8"/>
    <w:rsid w:val="49086D6B"/>
    <w:rsid w:val="490F56F9"/>
    <w:rsid w:val="491C6209"/>
    <w:rsid w:val="49391CD8"/>
    <w:rsid w:val="49C04ABC"/>
    <w:rsid w:val="49FA304C"/>
    <w:rsid w:val="4A0C4146"/>
    <w:rsid w:val="4A1903D0"/>
    <w:rsid w:val="4A8D6AB1"/>
    <w:rsid w:val="4ABC767C"/>
    <w:rsid w:val="4AED01C2"/>
    <w:rsid w:val="4AFC7ECB"/>
    <w:rsid w:val="4B235CF6"/>
    <w:rsid w:val="4B2A6963"/>
    <w:rsid w:val="4B5010C4"/>
    <w:rsid w:val="4B673352"/>
    <w:rsid w:val="4B9C7C39"/>
    <w:rsid w:val="4BC83ABB"/>
    <w:rsid w:val="4C687576"/>
    <w:rsid w:val="4C6E3E4A"/>
    <w:rsid w:val="4C8C3872"/>
    <w:rsid w:val="4CA1051D"/>
    <w:rsid w:val="4CC01013"/>
    <w:rsid w:val="4CC4300C"/>
    <w:rsid w:val="4CEB616D"/>
    <w:rsid w:val="4D051F7F"/>
    <w:rsid w:val="4D461EE2"/>
    <w:rsid w:val="4D923878"/>
    <w:rsid w:val="4D956757"/>
    <w:rsid w:val="4DFE254E"/>
    <w:rsid w:val="4E390847"/>
    <w:rsid w:val="4E5056C3"/>
    <w:rsid w:val="4E8B7C40"/>
    <w:rsid w:val="4EAA1331"/>
    <w:rsid w:val="4ECD25C4"/>
    <w:rsid w:val="4EF80B60"/>
    <w:rsid w:val="4F09124F"/>
    <w:rsid w:val="4F29620B"/>
    <w:rsid w:val="4F3855EC"/>
    <w:rsid w:val="4F3D6422"/>
    <w:rsid w:val="4F462F3C"/>
    <w:rsid w:val="4F597BCB"/>
    <w:rsid w:val="4F6D463B"/>
    <w:rsid w:val="4F90504C"/>
    <w:rsid w:val="4FAB0BD5"/>
    <w:rsid w:val="500C433E"/>
    <w:rsid w:val="50143826"/>
    <w:rsid w:val="501B313C"/>
    <w:rsid w:val="505D60AC"/>
    <w:rsid w:val="50BF3718"/>
    <w:rsid w:val="50F86551"/>
    <w:rsid w:val="50FB4F07"/>
    <w:rsid w:val="511451E6"/>
    <w:rsid w:val="51613BDD"/>
    <w:rsid w:val="51622DF4"/>
    <w:rsid w:val="516E79EA"/>
    <w:rsid w:val="51B45A65"/>
    <w:rsid w:val="51CF2BAA"/>
    <w:rsid w:val="525C68F8"/>
    <w:rsid w:val="527E4AAC"/>
    <w:rsid w:val="528F70CB"/>
    <w:rsid w:val="52A80CDA"/>
    <w:rsid w:val="52D26640"/>
    <w:rsid w:val="52EC7E5A"/>
    <w:rsid w:val="53075452"/>
    <w:rsid w:val="53A60CE9"/>
    <w:rsid w:val="53E96C83"/>
    <w:rsid w:val="540A3D6B"/>
    <w:rsid w:val="54297288"/>
    <w:rsid w:val="543050C4"/>
    <w:rsid w:val="54405620"/>
    <w:rsid w:val="547411E7"/>
    <w:rsid w:val="54AF663D"/>
    <w:rsid w:val="54BC146D"/>
    <w:rsid w:val="54C625EC"/>
    <w:rsid w:val="552C7A66"/>
    <w:rsid w:val="55524E37"/>
    <w:rsid w:val="557F303F"/>
    <w:rsid w:val="55AA6B17"/>
    <w:rsid w:val="55B529DE"/>
    <w:rsid w:val="55F01EC6"/>
    <w:rsid w:val="560D47C4"/>
    <w:rsid w:val="56175C4E"/>
    <w:rsid w:val="562F3E4F"/>
    <w:rsid w:val="563B08DF"/>
    <w:rsid w:val="56603EC0"/>
    <w:rsid w:val="5683022C"/>
    <w:rsid w:val="56985DCD"/>
    <w:rsid w:val="56A4738E"/>
    <w:rsid w:val="56DE3607"/>
    <w:rsid w:val="571823FD"/>
    <w:rsid w:val="577A3F2D"/>
    <w:rsid w:val="57AF47E5"/>
    <w:rsid w:val="581172F3"/>
    <w:rsid w:val="58365D87"/>
    <w:rsid w:val="586602EA"/>
    <w:rsid w:val="587D1F7A"/>
    <w:rsid w:val="589C3A0A"/>
    <w:rsid w:val="58B9632B"/>
    <w:rsid w:val="58CA7BAB"/>
    <w:rsid w:val="58E9092E"/>
    <w:rsid w:val="58F336F4"/>
    <w:rsid w:val="59121AE5"/>
    <w:rsid w:val="595F0805"/>
    <w:rsid w:val="59617D35"/>
    <w:rsid w:val="597E382E"/>
    <w:rsid w:val="5A145770"/>
    <w:rsid w:val="5A296BA4"/>
    <w:rsid w:val="5A544BED"/>
    <w:rsid w:val="5A55676B"/>
    <w:rsid w:val="5A627D21"/>
    <w:rsid w:val="5AAF425F"/>
    <w:rsid w:val="5ACB22C3"/>
    <w:rsid w:val="5AF24E72"/>
    <w:rsid w:val="5B1D5897"/>
    <w:rsid w:val="5B2F1760"/>
    <w:rsid w:val="5B6C2FB1"/>
    <w:rsid w:val="5B793214"/>
    <w:rsid w:val="5B7A63DB"/>
    <w:rsid w:val="5BF1724E"/>
    <w:rsid w:val="5BF85580"/>
    <w:rsid w:val="5C207C95"/>
    <w:rsid w:val="5C416832"/>
    <w:rsid w:val="5C7A5495"/>
    <w:rsid w:val="5C8C5ADF"/>
    <w:rsid w:val="5CB1126A"/>
    <w:rsid w:val="5CC56F5D"/>
    <w:rsid w:val="5D431409"/>
    <w:rsid w:val="5D6D056A"/>
    <w:rsid w:val="5D716DC3"/>
    <w:rsid w:val="5DA73809"/>
    <w:rsid w:val="5DB61566"/>
    <w:rsid w:val="5DBA25A7"/>
    <w:rsid w:val="5DD77214"/>
    <w:rsid w:val="5E08356F"/>
    <w:rsid w:val="5E1651CD"/>
    <w:rsid w:val="5E2B0A8E"/>
    <w:rsid w:val="5E31427B"/>
    <w:rsid w:val="5E451DE6"/>
    <w:rsid w:val="5EAA353D"/>
    <w:rsid w:val="5EB15565"/>
    <w:rsid w:val="5EB86A02"/>
    <w:rsid w:val="5EE14F8C"/>
    <w:rsid w:val="5FDE63DB"/>
    <w:rsid w:val="5FE74239"/>
    <w:rsid w:val="60856B60"/>
    <w:rsid w:val="60973D41"/>
    <w:rsid w:val="60E25622"/>
    <w:rsid w:val="60FA6BA5"/>
    <w:rsid w:val="612E2287"/>
    <w:rsid w:val="617058BE"/>
    <w:rsid w:val="61947959"/>
    <w:rsid w:val="620B1CA4"/>
    <w:rsid w:val="620B54C5"/>
    <w:rsid w:val="622B1464"/>
    <w:rsid w:val="62483BA6"/>
    <w:rsid w:val="62600DA3"/>
    <w:rsid w:val="6284510F"/>
    <w:rsid w:val="62B5712C"/>
    <w:rsid w:val="63356A2E"/>
    <w:rsid w:val="634F5036"/>
    <w:rsid w:val="63E633F3"/>
    <w:rsid w:val="64023B11"/>
    <w:rsid w:val="640536E0"/>
    <w:rsid w:val="64177C52"/>
    <w:rsid w:val="642B2624"/>
    <w:rsid w:val="642B3519"/>
    <w:rsid w:val="6432631F"/>
    <w:rsid w:val="64373A7E"/>
    <w:rsid w:val="649B1565"/>
    <w:rsid w:val="64C67100"/>
    <w:rsid w:val="64D85B4A"/>
    <w:rsid w:val="64F743B2"/>
    <w:rsid w:val="652E4750"/>
    <w:rsid w:val="653345F2"/>
    <w:rsid w:val="65520E00"/>
    <w:rsid w:val="65711400"/>
    <w:rsid w:val="657E1834"/>
    <w:rsid w:val="65846E10"/>
    <w:rsid w:val="664675B7"/>
    <w:rsid w:val="66D147B6"/>
    <w:rsid w:val="66E07BC1"/>
    <w:rsid w:val="676133E9"/>
    <w:rsid w:val="67713AF5"/>
    <w:rsid w:val="679A4C3E"/>
    <w:rsid w:val="679D332E"/>
    <w:rsid w:val="67E03287"/>
    <w:rsid w:val="68071723"/>
    <w:rsid w:val="680C2887"/>
    <w:rsid w:val="682664D1"/>
    <w:rsid w:val="685F2FA6"/>
    <w:rsid w:val="68652C4B"/>
    <w:rsid w:val="687A31BD"/>
    <w:rsid w:val="688E4077"/>
    <w:rsid w:val="68C919C4"/>
    <w:rsid w:val="68FC539F"/>
    <w:rsid w:val="69A9560C"/>
    <w:rsid w:val="69F72FE2"/>
    <w:rsid w:val="6A2F794D"/>
    <w:rsid w:val="6A641533"/>
    <w:rsid w:val="6A72737E"/>
    <w:rsid w:val="6A7B17A9"/>
    <w:rsid w:val="6A892FBA"/>
    <w:rsid w:val="6AA656A7"/>
    <w:rsid w:val="6AB67CF0"/>
    <w:rsid w:val="6AC45F98"/>
    <w:rsid w:val="6AD2029E"/>
    <w:rsid w:val="6B086362"/>
    <w:rsid w:val="6B1857C0"/>
    <w:rsid w:val="6B6D5BB0"/>
    <w:rsid w:val="6B733749"/>
    <w:rsid w:val="6B84580E"/>
    <w:rsid w:val="6BBB6967"/>
    <w:rsid w:val="6BC54253"/>
    <w:rsid w:val="6C24541E"/>
    <w:rsid w:val="6C2E1DF8"/>
    <w:rsid w:val="6C376EFF"/>
    <w:rsid w:val="6C5E2876"/>
    <w:rsid w:val="6CCF392F"/>
    <w:rsid w:val="6D306A01"/>
    <w:rsid w:val="6DCB0155"/>
    <w:rsid w:val="6DD1446F"/>
    <w:rsid w:val="6DD8026E"/>
    <w:rsid w:val="6E424267"/>
    <w:rsid w:val="6E69536A"/>
    <w:rsid w:val="6EF928AC"/>
    <w:rsid w:val="6F19375F"/>
    <w:rsid w:val="6F5B10BB"/>
    <w:rsid w:val="6F794FD9"/>
    <w:rsid w:val="6FAB189C"/>
    <w:rsid w:val="6FCD3177"/>
    <w:rsid w:val="6FF60E7F"/>
    <w:rsid w:val="701A100B"/>
    <w:rsid w:val="7039446C"/>
    <w:rsid w:val="704C2D64"/>
    <w:rsid w:val="704F4C95"/>
    <w:rsid w:val="7089502D"/>
    <w:rsid w:val="70942E94"/>
    <w:rsid w:val="70A63802"/>
    <w:rsid w:val="70A91DFD"/>
    <w:rsid w:val="70B1183F"/>
    <w:rsid w:val="70BC146D"/>
    <w:rsid w:val="70FD64F8"/>
    <w:rsid w:val="7124067E"/>
    <w:rsid w:val="712B2396"/>
    <w:rsid w:val="712C735E"/>
    <w:rsid w:val="71482399"/>
    <w:rsid w:val="718166DC"/>
    <w:rsid w:val="71911303"/>
    <w:rsid w:val="72117AF0"/>
    <w:rsid w:val="722157DE"/>
    <w:rsid w:val="72242D4A"/>
    <w:rsid w:val="722D52BF"/>
    <w:rsid w:val="72362CDB"/>
    <w:rsid w:val="723C4321"/>
    <w:rsid w:val="725419F7"/>
    <w:rsid w:val="726247D7"/>
    <w:rsid w:val="729D0062"/>
    <w:rsid w:val="72AA495B"/>
    <w:rsid w:val="72AD461B"/>
    <w:rsid w:val="72FF44EF"/>
    <w:rsid w:val="73525290"/>
    <w:rsid w:val="73593D19"/>
    <w:rsid w:val="73726A6F"/>
    <w:rsid w:val="738B6F92"/>
    <w:rsid w:val="73BA7E96"/>
    <w:rsid w:val="73C6500C"/>
    <w:rsid w:val="73CC399B"/>
    <w:rsid w:val="74251D33"/>
    <w:rsid w:val="74381E70"/>
    <w:rsid w:val="745A29C6"/>
    <w:rsid w:val="74883644"/>
    <w:rsid w:val="75C772FE"/>
    <w:rsid w:val="75DE2343"/>
    <w:rsid w:val="75F66D26"/>
    <w:rsid w:val="760203F3"/>
    <w:rsid w:val="76236746"/>
    <w:rsid w:val="762E272D"/>
    <w:rsid w:val="76552DE2"/>
    <w:rsid w:val="765C3E4A"/>
    <w:rsid w:val="767471F4"/>
    <w:rsid w:val="76B31878"/>
    <w:rsid w:val="76E60144"/>
    <w:rsid w:val="77172FFB"/>
    <w:rsid w:val="771D73DF"/>
    <w:rsid w:val="774011C0"/>
    <w:rsid w:val="77543DD8"/>
    <w:rsid w:val="775B70DB"/>
    <w:rsid w:val="77D00208"/>
    <w:rsid w:val="78350435"/>
    <w:rsid w:val="78582D11"/>
    <w:rsid w:val="785B4C76"/>
    <w:rsid w:val="78CF321B"/>
    <w:rsid w:val="78D80745"/>
    <w:rsid w:val="79361DA1"/>
    <w:rsid w:val="79502F02"/>
    <w:rsid w:val="79606776"/>
    <w:rsid w:val="799314ED"/>
    <w:rsid w:val="799C32AA"/>
    <w:rsid w:val="7A1701C6"/>
    <w:rsid w:val="7A451EC9"/>
    <w:rsid w:val="7A5C2227"/>
    <w:rsid w:val="7A623F7A"/>
    <w:rsid w:val="7A682FE6"/>
    <w:rsid w:val="7A9224D1"/>
    <w:rsid w:val="7B833617"/>
    <w:rsid w:val="7B857621"/>
    <w:rsid w:val="7B874131"/>
    <w:rsid w:val="7BBD07E4"/>
    <w:rsid w:val="7BBE3A6D"/>
    <w:rsid w:val="7BD109C1"/>
    <w:rsid w:val="7BFE7D17"/>
    <w:rsid w:val="7C1005C0"/>
    <w:rsid w:val="7C1F21E8"/>
    <w:rsid w:val="7C9378AB"/>
    <w:rsid w:val="7CA32384"/>
    <w:rsid w:val="7D162B61"/>
    <w:rsid w:val="7D422CC1"/>
    <w:rsid w:val="7D5A783C"/>
    <w:rsid w:val="7D61489C"/>
    <w:rsid w:val="7D9C44DC"/>
    <w:rsid w:val="7DA10D85"/>
    <w:rsid w:val="7DA168CE"/>
    <w:rsid w:val="7DAE2D99"/>
    <w:rsid w:val="7DD6602E"/>
    <w:rsid w:val="7E037069"/>
    <w:rsid w:val="7E1B032E"/>
    <w:rsid w:val="7E422392"/>
    <w:rsid w:val="7E944810"/>
    <w:rsid w:val="7EFA2748"/>
    <w:rsid w:val="7F147301"/>
    <w:rsid w:val="7F3A093D"/>
    <w:rsid w:val="7F431E9F"/>
    <w:rsid w:val="7F485CBA"/>
    <w:rsid w:val="7F5B07F1"/>
    <w:rsid w:val="7F67693B"/>
    <w:rsid w:val="7F8F6790"/>
    <w:rsid w:val="7F977196"/>
    <w:rsid w:val="7F9D3B7B"/>
    <w:rsid w:val="7FB87545"/>
    <w:rsid w:val="7FBC4F6E"/>
    <w:rsid w:val="7FD61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4">
    <w:name w:val="caption"/>
    <w:basedOn w:val="1"/>
    <w:next w:val="1"/>
    <w:unhideWhenUsed/>
    <w:qFormat/>
    <w:uiPriority w:val="35"/>
    <w:pPr>
      <w:spacing w:before="50" w:beforeLines="50" w:after="50" w:afterLines="50"/>
      <w:jc w:val="center"/>
    </w:pPr>
    <w:rPr>
      <w:rFonts w:eastAsia="黑体" w:asciiTheme="majorHAnsi" w:hAnsiTheme="majorHAnsi" w:cstheme="majorBidi"/>
      <w:szCs w:val="20"/>
    </w:rPr>
  </w:style>
  <w:style w:type="paragraph" w:styleId="5">
    <w:name w:val="annotation text"/>
    <w:basedOn w:val="1"/>
    <w:qFormat/>
    <w:uiPriority w:val="0"/>
    <w:pPr>
      <w:jc w:val="left"/>
    </w:pPr>
  </w:style>
  <w:style w:type="paragraph" w:styleId="6">
    <w:name w:val="Plain Text"/>
    <w:basedOn w:val="1"/>
    <w:link w:val="64"/>
    <w:qFormat/>
    <w:uiPriority w:val="0"/>
    <w:rPr>
      <w:rFonts w:ascii="宋体" w:hAnsi="Courier New"/>
    </w:rPr>
  </w:style>
  <w:style w:type="paragraph" w:styleId="7">
    <w:name w:val="Date"/>
    <w:basedOn w:val="1"/>
    <w:next w:val="1"/>
    <w:qFormat/>
    <w:uiPriority w:val="0"/>
    <w:pPr>
      <w:spacing w:line="360" w:lineRule="atLeast"/>
    </w:pPr>
    <w:rPr>
      <w:rFonts w:ascii="方正书宋简体" w:hAnsi="Courier New" w:eastAsia="方正书宋简体"/>
      <w:szCs w:val="20"/>
    </w:rPr>
  </w:style>
  <w:style w:type="paragraph" w:styleId="8">
    <w:name w:val="Body Text Indent 2"/>
    <w:basedOn w:val="1"/>
    <w:qFormat/>
    <w:uiPriority w:val="0"/>
    <w:pPr>
      <w:spacing w:line="340" w:lineRule="exact"/>
      <w:ind w:firstLine="420"/>
      <w:jc w:val="left"/>
    </w:p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65"/>
    <w:qFormat/>
    <w:uiPriority w:val="0"/>
    <w:pPr>
      <w:jc w:val="center"/>
    </w:pPr>
    <w:rPr>
      <w:rFonts w:ascii="黑体" w:hAnsi="宋体" w:eastAsia="黑体"/>
      <w:sz w:val="32"/>
    </w:rPr>
  </w:style>
  <w:style w:type="paragraph" w:styleId="12">
    <w:name w:val="Body Text 2"/>
    <w:basedOn w:val="1"/>
    <w:link w:val="63"/>
    <w:qFormat/>
    <w:uiPriority w:val="0"/>
    <w:pPr>
      <w:spacing w:line="160" w:lineRule="exact"/>
    </w:pPr>
    <w:rPr>
      <w:sz w:val="13"/>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index 1"/>
    <w:basedOn w:val="1"/>
    <w:next w:val="1"/>
    <w:qFormat/>
    <w:uiPriority w:val="0"/>
    <w:pPr>
      <w:ind w:left="210" w:hanging="210"/>
      <w:jc w:val="left"/>
    </w:pPr>
    <w:rPr>
      <w:sz w:val="18"/>
      <w:szCs w:val="1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bCs/>
    </w:rPr>
  </w:style>
  <w:style w:type="character" w:styleId="19">
    <w:name w:val="page number"/>
    <w:qFormat/>
    <w:uiPriority w:val="0"/>
    <w:rPr>
      <w:rFonts w:ascii="Times New Roman" w:hAnsi="Times New Roman" w:eastAsia="宋体"/>
      <w:sz w:val="18"/>
    </w:rPr>
  </w:style>
  <w:style w:type="character" w:styleId="20">
    <w:name w:val="Emphasis"/>
    <w:qFormat/>
    <w:uiPriority w:val="20"/>
    <w:rPr>
      <w:i/>
    </w:rPr>
  </w:style>
  <w:style w:type="character" w:styleId="21">
    <w:name w:val="Hyperlink"/>
    <w:unhideWhenUsed/>
    <w:qFormat/>
    <w:uiPriority w:val="99"/>
    <w:rPr>
      <w:color w:val="0000FF"/>
      <w:u w:val="single"/>
    </w:rPr>
  </w:style>
  <w:style w:type="character" w:styleId="22">
    <w:name w:val="annotation reference"/>
    <w:basedOn w:val="17"/>
    <w:qFormat/>
    <w:uiPriority w:val="0"/>
    <w:rPr>
      <w:sz w:val="21"/>
      <w:szCs w:val="21"/>
    </w:rPr>
  </w:style>
  <w:style w:type="paragraph" w:customStyle="1" w:styleId="2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24">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5">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7">
    <w:name w:val="标准书眉_偶数页"/>
    <w:basedOn w:val="26"/>
    <w:next w:val="1"/>
    <w:qFormat/>
    <w:uiPriority w:val="0"/>
    <w:pPr>
      <w:jc w:val="left"/>
    </w:pPr>
  </w:style>
  <w:style w:type="paragraph" w:customStyle="1" w:styleId="28">
    <w:name w:val="标准书眉一"/>
    <w:qFormat/>
    <w:uiPriority w:val="0"/>
    <w:pPr>
      <w:jc w:val="both"/>
    </w:pPr>
    <w:rPr>
      <w:rFonts w:ascii="Times New Roman" w:hAnsi="Times New Roman" w:eastAsia="宋体" w:cs="Times New Roman"/>
      <w:lang w:val="en-US" w:eastAsia="zh-CN" w:bidi="ar-SA"/>
    </w:rPr>
  </w:style>
  <w:style w:type="paragraph" w:customStyle="1" w:styleId="29">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0">
    <w:name w:val="段"/>
    <w:link w:val="3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
    <w:name w:val="段 Char"/>
    <w:link w:val="30"/>
    <w:qFormat/>
    <w:uiPriority w:val="0"/>
    <w:rPr>
      <w:rFonts w:ascii="宋体"/>
      <w:sz w:val="21"/>
    </w:rPr>
  </w:style>
  <w:style w:type="paragraph" w:customStyle="1" w:styleId="32">
    <w:name w:val="章标题"/>
    <w:next w:val="30"/>
    <w:qFormat/>
    <w:uiPriority w:val="0"/>
    <w:pPr>
      <w:numPr>
        <w:ilvl w:val="1"/>
        <w:numId w:val="1"/>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33">
    <w:name w:val="一级条标题"/>
    <w:basedOn w:val="32"/>
    <w:next w:val="1"/>
    <w:qFormat/>
    <w:uiPriority w:val="0"/>
    <w:pPr>
      <w:numPr>
        <w:ilvl w:val="2"/>
      </w:numPr>
      <w:spacing w:before="0" w:beforeLines="0" w:after="0" w:afterLines="0"/>
      <w:outlineLvl w:val="2"/>
    </w:pPr>
  </w:style>
  <w:style w:type="paragraph" w:customStyle="1" w:styleId="34">
    <w:name w:val="二级条标题"/>
    <w:basedOn w:val="33"/>
    <w:next w:val="30"/>
    <w:qFormat/>
    <w:uiPriority w:val="0"/>
    <w:pPr>
      <w:numPr>
        <w:ilvl w:val="3"/>
      </w:numPr>
      <w:outlineLvl w:val="3"/>
    </w:pPr>
  </w:style>
  <w:style w:type="character" w:customStyle="1" w:styleId="35">
    <w:name w:val="发布"/>
    <w:qFormat/>
    <w:uiPriority w:val="0"/>
    <w:rPr>
      <w:rFonts w:ascii="黑体" w:eastAsia="黑体"/>
      <w:spacing w:val="22"/>
      <w:w w:val="100"/>
      <w:position w:val="3"/>
      <w:sz w:val="28"/>
    </w:rPr>
  </w:style>
  <w:style w:type="paragraph" w:customStyle="1" w:styleId="36">
    <w:name w:val="发布部门"/>
    <w:next w:val="30"/>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37">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38">
    <w:name w:val="封面标准号2"/>
    <w:basedOn w:val="1"/>
    <w:qFormat/>
    <w:uiPriority w:val="0"/>
    <w:pPr>
      <w:framePr w:w="9138" w:h="1244" w:hRule="exact" w:wrap="auto"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39">
    <w:name w:val="封面标准代替信息"/>
    <w:basedOn w:val="38"/>
    <w:qFormat/>
    <w:uiPriority w:val="0"/>
    <w:pPr>
      <w:framePr/>
      <w:spacing w:before="57"/>
    </w:pPr>
    <w:rPr>
      <w:rFonts w:ascii="宋体"/>
      <w:sz w:val="21"/>
    </w:rPr>
  </w:style>
  <w:style w:type="paragraph" w:customStyle="1" w:styleId="40">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4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4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3">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44">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5">
    <w:name w:val="封面正文"/>
    <w:qFormat/>
    <w:uiPriority w:val="0"/>
    <w:pPr>
      <w:jc w:val="both"/>
    </w:pPr>
    <w:rPr>
      <w:rFonts w:ascii="Times New Roman" w:hAnsi="Times New Roman" w:eastAsia="宋体" w:cs="Times New Roman"/>
      <w:lang w:val="en-US" w:eastAsia="zh-CN" w:bidi="ar-SA"/>
    </w:rPr>
  </w:style>
  <w:style w:type="paragraph" w:customStyle="1" w:styleId="46">
    <w:name w:val="三级条标题"/>
    <w:basedOn w:val="34"/>
    <w:next w:val="30"/>
    <w:qFormat/>
    <w:uiPriority w:val="0"/>
    <w:pPr>
      <w:numPr>
        <w:ilvl w:val="4"/>
      </w:numPr>
      <w:outlineLvl w:val="4"/>
    </w:pPr>
  </w:style>
  <w:style w:type="paragraph" w:customStyle="1" w:styleId="47">
    <w:name w:val="实施日期"/>
    <w:basedOn w:val="37"/>
    <w:qFormat/>
    <w:uiPriority w:val="0"/>
    <w:pPr>
      <w:framePr w:hSpace="0" w:wrap="around" w:xAlign="right"/>
      <w:jc w:val="right"/>
    </w:pPr>
  </w:style>
  <w:style w:type="paragraph" w:customStyle="1" w:styleId="48">
    <w:name w:val="示例"/>
    <w:next w:val="30"/>
    <w:qFormat/>
    <w:uiPriority w:val="0"/>
    <w:pPr>
      <w:numPr>
        <w:ilvl w:val="0"/>
        <w:numId w:val="2"/>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49">
    <w:name w:val="四级条标题"/>
    <w:basedOn w:val="46"/>
    <w:next w:val="30"/>
    <w:qFormat/>
    <w:uiPriority w:val="0"/>
    <w:pPr>
      <w:numPr>
        <w:ilvl w:val="5"/>
      </w:numPr>
      <w:outlineLvl w:val="5"/>
    </w:pPr>
  </w:style>
  <w:style w:type="paragraph" w:customStyle="1" w:styleId="5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51">
    <w:name w:val="五级条标题"/>
    <w:basedOn w:val="49"/>
    <w:next w:val="30"/>
    <w:qFormat/>
    <w:uiPriority w:val="0"/>
    <w:pPr>
      <w:numPr>
        <w:ilvl w:val="6"/>
      </w:numPr>
      <w:outlineLvl w:val="6"/>
    </w:pPr>
  </w:style>
  <w:style w:type="paragraph" w:customStyle="1" w:styleId="52">
    <w:name w:val="一级条标题 Char"/>
    <w:next w:val="30"/>
    <w:qFormat/>
    <w:uiPriority w:val="0"/>
    <w:pPr>
      <w:outlineLvl w:val="2"/>
    </w:pPr>
    <w:rPr>
      <w:rFonts w:ascii="Times New Roman" w:hAnsi="Times New Roman" w:eastAsia="黑体" w:cs="Times New Roman"/>
      <w:kern w:val="2"/>
      <w:sz w:val="21"/>
      <w:szCs w:val="24"/>
      <w:lang w:val="en-US" w:eastAsia="zh-CN" w:bidi="ar-SA"/>
    </w:rPr>
  </w:style>
  <w:style w:type="character" w:customStyle="1" w:styleId="53">
    <w:name w:val="pt91"/>
    <w:qFormat/>
    <w:uiPriority w:val="0"/>
    <w:rPr>
      <w:rFonts w:hint="eastAsia" w:ascii="宋体" w:hAnsi="宋体" w:eastAsia="宋体"/>
      <w:color w:val="000000"/>
      <w:sz w:val="18"/>
      <w:szCs w:val="18"/>
      <w:u w:val="none"/>
    </w:rPr>
  </w:style>
  <w:style w:type="paragraph" w:customStyle="1" w:styleId="54">
    <w:name w:val="二级无标题条"/>
    <w:basedOn w:val="1"/>
    <w:qFormat/>
    <w:uiPriority w:val="0"/>
    <w:pPr>
      <w:numPr>
        <w:ilvl w:val="3"/>
        <w:numId w:val="3"/>
      </w:numPr>
    </w:pPr>
  </w:style>
  <w:style w:type="paragraph" w:customStyle="1" w:styleId="55">
    <w:name w:val="三级无标题条"/>
    <w:basedOn w:val="1"/>
    <w:qFormat/>
    <w:uiPriority w:val="0"/>
    <w:pPr>
      <w:numPr>
        <w:ilvl w:val="4"/>
        <w:numId w:val="3"/>
      </w:numPr>
    </w:pPr>
  </w:style>
  <w:style w:type="paragraph" w:customStyle="1" w:styleId="56">
    <w:name w:val="四级无标题条"/>
    <w:basedOn w:val="1"/>
    <w:qFormat/>
    <w:uiPriority w:val="0"/>
    <w:pPr>
      <w:numPr>
        <w:ilvl w:val="5"/>
        <w:numId w:val="3"/>
      </w:numPr>
    </w:pPr>
  </w:style>
  <w:style w:type="paragraph" w:customStyle="1" w:styleId="57">
    <w:name w:val="五级无标题条"/>
    <w:basedOn w:val="1"/>
    <w:qFormat/>
    <w:uiPriority w:val="0"/>
    <w:pPr>
      <w:numPr>
        <w:ilvl w:val="6"/>
        <w:numId w:val="3"/>
      </w:numPr>
    </w:pPr>
  </w:style>
  <w:style w:type="paragraph" w:customStyle="1" w:styleId="58">
    <w:name w:val="一级无标题条"/>
    <w:basedOn w:val="1"/>
    <w:qFormat/>
    <w:uiPriority w:val="0"/>
    <w:pPr>
      <w:numPr>
        <w:ilvl w:val="2"/>
        <w:numId w:val="3"/>
      </w:numPr>
    </w:pPr>
  </w:style>
  <w:style w:type="paragraph" w:customStyle="1" w:styleId="59">
    <w:name w:val="Char"/>
    <w:basedOn w:val="1"/>
    <w:qFormat/>
    <w:uiPriority w:val="0"/>
  </w:style>
  <w:style w:type="paragraph" w:customStyle="1" w:styleId="60">
    <w:name w:val="目次、标准名称标题"/>
    <w:basedOn w:val="29"/>
    <w:next w:val="30"/>
    <w:qFormat/>
    <w:uiPriority w:val="0"/>
    <w:pPr>
      <w:numPr>
        <w:numId w:val="0"/>
      </w:numPr>
      <w:spacing w:line="460" w:lineRule="exact"/>
    </w:pPr>
  </w:style>
  <w:style w:type="paragraph" w:customStyle="1" w:styleId="61">
    <w:name w:val="图片单位标注"/>
    <w:basedOn w:val="1"/>
    <w:next w:val="62"/>
    <w:qFormat/>
    <w:uiPriority w:val="0"/>
    <w:pPr>
      <w:keepNext/>
      <w:jc w:val="right"/>
    </w:pPr>
  </w:style>
  <w:style w:type="paragraph" w:customStyle="1" w:styleId="62">
    <w:name w:val="图片居中"/>
    <w:basedOn w:val="1"/>
    <w:qFormat/>
    <w:uiPriority w:val="0"/>
    <w:pPr>
      <w:keepNext/>
      <w:jc w:val="center"/>
    </w:pPr>
  </w:style>
  <w:style w:type="character" w:customStyle="1" w:styleId="63">
    <w:name w:val="正文文本 2 Char"/>
    <w:basedOn w:val="17"/>
    <w:link w:val="12"/>
    <w:uiPriority w:val="0"/>
    <w:rPr>
      <w:kern w:val="2"/>
      <w:sz w:val="13"/>
      <w:szCs w:val="24"/>
    </w:rPr>
  </w:style>
  <w:style w:type="character" w:customStyle="1" w:styleId="64">
    <w:name w:val="纯文本 Char"/>
    <w:link w:val="6"/>
    <w:uiPriority w:val="0"/>
    <w:rPr>
      <w:rFonts w:ascii="宋体" w:hAnsi="Courier New"/>
      <w:kern w:val="2"/>
      <w:sz w:val="21"/>
      <w:szCs w:val="24"/>
    </w:rPr>
  </w:style>
  <w:style w:type="character" w:customStyle="1" w:styleId="65">
    <w:name w:val="页眉 Char"/>
    <w:basedOn w:val="17"/>
    <w:link w:val="11"/>
    <w:qFormat/>
    <w:uiPriority w:val="0"/>
    <w:rPr>
      <w:rFonts w:ascii="黑体" w:hAnsi="宋体" w:eastAsia="黑体"/>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0.png"/><Relationship Id="rId34" Type="http://schemas.openxmlformats.org/officeDocument/2006/relationships/image" Target="media/image19.jpeg"/><Relationship Id="rId33" Type="http://schemas.openxmlformats.org/officeDocument/2006/relationships/image" Target="media/image18.jpeg"/><Relationship Id="rId32" Type="http://schemas.openxmlformats.org/officeDocument/2006/relationships/image" Target="media/image17.wmf"/><Relationship Id="rId31" Type="http://schemas.openxmlformats.org/officeDocument/2006/relationships/oleObject" Target="embeddings/oleObject1.bin"/><Relationship Id="rId30" Type="http://schemas.openxmlformats.org/officeDocument/2006/relationships/image" Target="media/image16.jpeg"/><Relationship Id="rId3" Type="http://schemas.openxmlformats.org/officeDocument/2006/relationships/header" Target="header1.xml"/><Relationship Id="rId29" Type="http://schemas.openxmlformats.org/officeDocument/2006/relationships/image" Target="media/image15.jpeg"/><Relationship Id="rId28" Type="http://schemas.openxmlformats.org/officeDocument/2006/relationships/image" Target="media/image14.jpeg"/><Relationship Id="rId27" Type="http://schemas.openxmlformats.org/officeDocument/2006/relationships/image" Target="media/image13.jpeg"/><Relationship Id="rId26" Type="http://schemas.openxmlformats.org/officeDocument/2006/relationships/image" Target="media/image12.jpeg"/><Relationship Id="rId25" Type="http://schemas.openxmlformats.org/officeDocument/2006/relationships/image" Target="media/image11.jpeg"/><Relationship Id="rId24" Type="http://schemas.openxmlformats.org/officeDocument/2006/relationships/image" Target="media/image10.jpeg"/><Relationship Id="rId23" Type="http://schemas.openxmlformats.org/officeDocument/2006/relationships/image" Target="media/image9.jpeg"/><Relationship Id="rId22" Type="http://schemas.openxmlformats.org/officeDocument/2006/relationships/image" Target="media/image8.jpeg"/><Relationship Id="rId21" Type="http://schemas.openxmlformats.org/officeDocument/2006/relationships/image" Target="media/image7.jpeg"/><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52"/>
    <customShpInfo spid="_x0000_s1053"/>
    <customShpInfo spid="_x0000_s1051"/>
    <customShpInfo spid="_x0000_s1054"/>
    <customShpInfo spid="_x0000_s1055"/>
    <customShpInfo spid="_x0000_s1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camms</Company>
  <Pages>30</Pages>
  <Words>25565</Words>
  <Characters>29293</Characters>
  <Lines>226</Lines>
  <Paragraphs>63</Paragraphs>
  <TotalTime>4</TotalTime>
  <ScaleCrop>false</ScaleCrop>
  <LinksUpToDate>false</LinksUpToDate>
  <CharactersWithSpaces>31050</CharactersWithSpaces>
  <Application>WPS Office_12.1.0.17813_F1E327BC-269C-435d-A152-05C5408002CA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2023-09-04T01:40:00Z</dcterms:created>
  <dc:creator>lss</dc:creator>
  <cp:lastModifiedBy>lss</cp:lastModifiedBy>
  <cp:lastPrinted>2008-10-20T08:17:00Z</cp:lastPrinted>
  <dcterms:modified xsi:type="dcterms:W3CDTF">2024-08-22T07:48:23Z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A19295CAF97C46D7849EE2CB8AAFA8F8_13</vt:lpwstr>
  </property>
</Properties>
</file>